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D0F0D" w14:textId="77777777" w:rsidR="000819C7" w:rsidRPr="006F7C42" w:rsidRDefault="000819C7" w:rsidP="000819C7">
      <w:pPr>
        <w:pStyle w:val="Titre"/>
        <w:rPr>
          <w:rFonts w:ascii="Times New Roman" w:hAnsi="Times New Roman" w:cs="Times New Roman"/>
          <w:b w:val="0"/>
          <w:sz w:val="36"/>
          <w:szCs w:val="36"/>
        </w:rPr>
      </w:pPr>
      <w:r w:rsidRPr="006F7C42">
        <w:rPr>
          <w:rFonts w:ascii="Times New Roman" w:hAnsi="Times New Roman" w:cs="Times New Roman"/>
          <w:b w:val="0"/>
          <w:sz w:val="36"/>
          <w:szCs w:val="36"/>
        </w:rPr>
        <w:t>CODE DES ASSURANCES APPLICABLE EN POLYNESIE FRANCAISE</w:t>
      </w:r>
    </w:p>
    <w:p w14:paraId="711737B1" w14:textId="77777777" w:rsidR="000819C7" w:rsidRPr="006F7C42" w:rsidRDefault="000819C7" w:rsidP="000819C7">
      <w:pPr>
        <w:pStyle w:val="Titre"/>
        <w:rPr>
          <w:rFonts w:ascii="Times New Roman" w:hAnsi="Times New Roman" w:cs="Times New Roman"/>
          <w:b w:val="0"/>
          <w:sz w:val="24"/>
        </w:rPr>
      </w:pPr>
    </w:p>
    <w:p w14:paraId="22C07691" w14:textId="77777777" w:rsidR="000819C7" w:rsidRPr="006F7C42" w:rsidRDefault="000819C7" w:rsidP="000819C7">
      <w:pPr>
        <w:pStyle w:val="Titre"/>
        <w:rPr>
          <w:rFonts w:ascii="Times New Roman" w:hAnsi="Times New Roman" w:cs="Times New Roman"/>
          <w:b w:val="0"/>
          <w:sz w:val="36"/>
          <w:szCs w:val="36"/>
        </w:rPr>
      </w:pPr>
      <w:r w:rsidRPr="006F7C42">
        <w:rPr>
          <w:rFonts w:ascii="Times New Roman" w:hAnsi="Times New Roman" w:cs="Times New Roman"/>
          <w:b w:val="0"/>
          <w:sz w:val="36"/>
          <w:szCs w:val="36"/>
        </w:rPr>
        <w:t>(PARTIE REGLEMENTAIRE)</w:t>
      </w:r>
    </w:p>
    <w:p w14:paraId="4C91567E" w14:textId="77777777" w:rsidR="000819C7" w:rsidRPr="006F7C42" w:rsidRDefault="000819C7" w:rsidP="000819C7">
      <w:pPr>
        <w:pStyle w:val="TableParagraph"/>
        <w:kinsoku w:val="0"/>
        <w:overflowPunct w:val="0"/>
        <w:spacing w:line="228" w:lineRule="exact"/>
        <w:ind w:left="142" w:hanging="142"/>
        <w:jc w:val="center"/>
        <w:rPr>
          <w:color w:val="000000"/>
          <w:w w:val="105"/>
          <w:sz w:val="22"/>
          <w:szCs w:val="22"/>
        </w:rPr>
      </w:pPr>
    </w:p>
    <w:p w14:paraId="7EAFF3FD" w14:textId="77777777" w:rsidR="000819C7" w:rsidRPr="006F7C42" w:rsidRDefault="000819C7" w:rsidP="000819C7">
      <w:pPr>
        <w:pStyle w:val="TableParagraph"/>
        <w:kinsoku w:val="0"/>
        <w:overflowPunct w:val="0"/>
        <w:spacing w:line="228" w:lineRule="exact"/>
        <w:ind w:left="142" w:hanging="142"/>
        <w:jc w:val="center"/>
        <w:rPr>
          <w:color w:val="000000"/>
          <w:w w:val="105"/>
          <w:sz w:val="22"/>
          <w:szCs w:val="22"/>
        </w:rPr>
      </w:pPr>
    </w:p>
    <w:p w14:paraId="3F303768" w14:textId="77777777" w:rsidR="000819C7" w:rsidRPr="006F7C42" w:rsidRDefault="000819C7" w:rsidP="000819C7">
      <w:pPr>
        <w:pStyle w:val="TableParagraph"/>
        <w:kinsoku w:val="0"/>
        <w:overflowPunct w:val="0"/>
        <w:spacing w:line="228" w:lineRule="exact"/>
        <w:ind w:left="142" w:hanging="142"/>
        <w:jc w:val="center"/>
        <w:rPr>
          <w:color w:val="000000"/>
          <w:w w:val="105"/>
          <w:sz w:val="22"/>
          <w:szCs w:val="22"/>
        </w:rPr>
      </w:pPr>
    </w:p>
    <w:p w14:paraId="37CA6C6B" w14:textId="77777777" w:rsidR="000819C7" w:rsidRPr="006F7C42" w:rsidRDefault="000819C7" w:rsidP="000819C7">
      <w:pPr>
        <w:pStyle w:val="TableParagraph"/>
        <w:kinsoku w:val="0"/>
        <w:overflowPunct w:val="0"/>
        <w:spacing w:line="228" w:lineRule="exact"/>
        <w:ind w:left="142" w:hanging="142"/>
        <w:jc w:val="center"/>
        <w:rPr>
          <w:color w:val="000000"/>
          <w:w w:val="105"/>
          <w:sz w:val="22"/>
          <w:szCs w:val="22"/>
        </w:rPr>
      </w:pPr>
    </w:p>
    <w:p w14:paraId="6BAE2454" w14:textId="77777777" w:rsidR="000819C7" w:rsidRPr="006F7C42" w:rsidRDefault="000819C7" w:rsidP="000819C7">
      <w:pPr>
        <w:pStyle w:val="TableParagraph"/>
        <w:kinsoku w:val="0"/>
        <w:overflowPunct w:val="0"/>
        <w:spacing w:line="228" w:lineRule="exact"/>
        <w:ind w:left="142" w:hanging="142"/>
        <w:jc w:val="center"/>
        <w:rPr>
          <w:color w:val="000000"/>
          <w:w w:val="105"/>
        </w:rPr>
      </w:pPr>
      <w:r w:rsidRPr="006F7C42">
        <w:rPr>
          <w:color w:val="000000"/>
          <w:w w:val="105"/>
        </w:rPr>
        <w:t xml:space="preserve">DECRET n° 76-667 du 16 juillet 1976 relatif à la codification </w:t>
      </w:r>
    </w:p>
    <w:p w14:paraId="12B49418" w14:textId="77777777" w:rsidR="000819C7" w:rsidRPr="006F7C42" w:rsidRDefault="000819C7" w:rsidP="000819C7">
      <w:pPr>
        <w:pStyle w:val="TableParagraph"/>
        <w:kinsoku w:val="0"/>
        <w:overflowPunct w:val="0"/>
        <w:spacing w:line="228" w:lineRule="exact"/>
        <w:ind w:left="142" w:hanging="142"/>
        <w:jc w:val="center"/>
        <w:rPr>
          <w:color w:val="000000"/>
          <w:w w:val="105"/>
        </w:rPr>
      </w:pPr>
      <w:r w:rsidRPr="006F7C42">
        <w:rPr>
          <w:color w:val="000000"/>
          <w:w w:val="105"/>
        </w:rPr>
        <w:t>des textes réglementaires concernant les assurances</w:t>
      </w:r>
    </w:p>
    <w:p w14:paraId="34A20DA6" w14:textId="77777777" w:rsidR="000819C7" w:rsidRPr="006F7C42" w:rsidRDefault="000819C7" w:rsidP="000819C7">
      <w:pPr>
        <w:pStyle w:val="TableParagraph"/>
        <w:kinsoku w:val="0"/>
        <w:overflowPunct w:val="0"/>
        <w:spacing w:line="228" w:lineRule="exact"/>
        <w:ind w:left="142" w:hanging="142"/>
        <w:jc w:val="center"/>
        <w:rPr>
          <w:color w:val="000000"/>
          <w:w w:val="105"/>
        </w:rPr>
      </w:pPr>
    </w:p>
    <w:p w14:paraId="47F2643C" w14:textId="77777777" w:rsidR="000819C7" w:rsidRPr="006F7C42" w:rsidRDefault="000819C7" w:rsidP="000819C7">
      <w:pPr>
        <w:pStyle w:val="TableParagraph"/>
        <w:kinsoku w:val="0"/>
        <w:overflowPunct w:val="0"/>
        <w:spacing w:line="228" w:lineRule="exact"/>
        <w:ind w:left="142" w:hanging="142"/>
        <w:jc w:val="center"/>
        <w:rPr>
          <w:color w:val="000000"/>
          <w:w w:val="105"/>
        </w:rPr>
      </w:pPr>
      <w:r w:rsidRPr="006F7C42">
        <w:rPr>
          <w:color w:val="000000"/>
          <w:w w:val="105"/>
        </w:rPr>
        <w:t>(Arrêté de promulgation n° 4488 AA du 4 août 1976</w:t>
      </w:r>
    </w:p>
    <w:p w14:paraId="38FC1DDA" w14:textId="77777777" w:rsidR="000819C7" w:rsidRPr="006F7C42" w:rsidRDefault="000819C7" w:rsidP="000819C7">
      <w:pPr>
        <w:pStyle w:val="TableParagraph"/>
        <w:kinsoku w:val="0"/>
        <w:overflowPunct w:val="0"/>
        <w:spacing w:line="228" w:lineRule="exact"/>
        <w:ind w:left="142" w:hanging="142"/>
        <w:jc w:val="center"/>
        <w:rPr>
          <w:color w:val="000000"/>
          <w:w w:val="105"/>
        </w:rPr>
      </w:pPr>
      <w:r w:rsidRPr="006F7C42">
        <w:rPr>
          <w:color w:val="000000"/>
          <w:w w:val="105"/>
        </w:rPr>
        <w:t>JOPF du 29 novembre 1976, n° 24 NS, p. 872)</w:t>
      </w:r>
    </w:p>
    <w:p w14:paraId="3B11F5AF" w14:textId="77777777" w:rsidR="000819C7" w:rsidRPr="006F7C42" w:rsidRDefault="000819C7" w:rsidP="000819C7">
      <w:pPr>
        <w:pStyle w:val="Titre"/>
        <w:jc w:val="both"/>
        <w:rPr>
          <w:rFonts w:ascii="Times New Roman" w:hAnsi="Times New Roman" w:cs="Times New Roman"/>
          <w:b w:val="0"/>
          <w:sz w:val="24"/>
        </w:rPr>
      </w:pPr>
    </w:p>
    <w:p w14:paraId="3B0B0AF9" w14:textId="77777777" w:rsidR="000819C7" w:rsidRPr="006F7C42" w:rsidRDefault="000819C7" w:rsidP="000819C7">
      <w:pPr>
        <w:pStyle w:val="Titre"/>
        <w:jc w:val="both"/>
        <w:rPr>
          <w:rFonts w:ascii="Times New Roman" w:hAnsi="Times New Roman" w:cs="Times New Roman"/>
          <w:b w:val="0"/>
          <w:sz w:val="24"/>
        </w:rPr>
      </w:pPr>
    </w:p>
    <w:p w14:paraId="31B0C87A" w14:textId="77777777" w:rsidR="000819C7" w:rsidRPr="006F7C42" w:rsidRDefault="000819C7" w:rsidP="000819C7">
      <w:pPr>
        <w:pStyle w:val="Titre"/>
        <w:rPr>
          <w:rFonts w:ascii="Times New Roman" w:hAnsi="Times New Roman" w:cs="Times New Roman"/>
          <w:b w:val="0"/>
          <w:i/>
          <w:sz w:val="24"/>
        </w:rPr>
      </w:pPr>
      <w:r w:rsidRPr="006F7C42">
        <w:rPr>
          <w:rFonts w:ascii="Times New Roman" w:hAnsi="Times New Roman" w:cs="Times New Roman"/>
          <w:b w:val="0"/>
          <w:i/>
          <w:sz w:val="24"/>
        </w:rPr>
        <w:t>Modifiée par :</w:t>
      </w:r>
    </w:p>
    <w:p w14:paraId="6607B7E0" w14:textId="77777777" w:rsidR="000819C7" w:rsidRPr="006F7C42" w:rsidRDefault="000819C7" w:rsidP="000819C7">
      <w:pPr>
        <w:pStyle w:val="Titre"/>
        <w:jc w:val="both"/>
        <w:rPr>
          <w:rFonts w:ascii="Times New Roman" w:hAnsi="Times New Roman" w:cs="Times New Roman"/>
          <w:b w:val="0"/>
          <w:i/>
          <w:sz w:val="24"/>
        </w:rPr>
      </w:pPr>
    </w:p>
    <w:p w14:paraId="5125F81F" w14:textId="77777777" w:rsidR="000819C7" w:rsidRPr="006F7C42" w:rsidRDefault="000819C7" w:rsidP="000819C7">
      <w:pPr>
        <w:pStyle w:val="Titre"/>
        <w:ind w:left="142" w:hanging="142"/>
        <w:jc w:val="both"/>
        <w:rPr>
          <w:rFonts w:ascii="Times New Roman" w:hAnsi="Times New Roman" w:cs="Times New Roman"/>
          <w:b w:val="0"/>
          <w:w w:val="105"/>
          <w:sz w:val="22"/>
          <w:szCs w:val="22"/>
        </w:rPr>
      </w:pPr>
      <w:r w:rsidRPr="006F7C42">
        <w:rPr>
          <w:rFonts w:ascii="Times New Roman" w:hAnsi="Times New Roman" w:cs="Times New Roman"/>
          <w:b w:val="0"/>
          <w:w w:val="105"/>
          <w:sz w:val="22"/>
          <w:szCs w:val="22"/>
        </w:rPr>
        <w:t>- Décret</w:t>
      </w:r>
      <w:r w:rsidRPr="006F7C42">
        <w:rPr>
          <w:rFonts w:ascii="Times New Roman" w:hAnsi="Times New Roman" w:cs="Times New Roman"/>
          <w:b w:val="0"/>
          <w:spacing w:val="33"/>
          <w:w w:val="105"/>
          <w:sz w:val="22"/>
          <w:szCs w:val="22"/>
        </w:rPr>
        <w:t xml:space="preserve"> </w:t>
      </w:r>
      <w:r w:rsidRPr="006F7C42">
        <w:rPr>
          <w:rFonts w:ascii="Times New Roman" w:hAnsi="Times New Roman" w:cs="Times New Roman"/>
          <w:b w:val="0"/>
          <w:w w:val="105"/>
          <w:sz w:val="22"/>
          <w:szCs w:val="22"/>
        </w:rPr>
        <w:t>n°</w:t>
      </w:r>
      <w:r w:rsidRPr="006F7C42">
        <w:rPr>
          <w:rFonts w:ascii="Times New Roman" w:hAnsi="Times New Roman" w:cs="Times New Roman"/>
          <w:b w:val="0"/>
          <w:spacing w:val="21"/>
          <w:w w:val="105"/>
          <w:sz w:val="22"/>
          <w:szCs w:val="22"/>
        </w:rPr>
        <w:t xml:space="preserve"> </w:t>
      </w:r>
      <w:r w:rsidRPr="006F7C42">
        <w:rPr>
          <w:rFonts w:ascii="Times New Roman" w:hAnsi="Times New Roman" w:cs="Times New Roman"/>
          <w:b w:val="0"/>
          <w:w w:val="105"/>
          <w:sz w:val="22"/>
          <w:szCs w:val="22"/>
        </w:rPr>
        <w:t>79-792</w:t>
      </w:r>
      <w:r w:rsidRPr="006F7C42">
        <w:rPr>
          <w:rFonts w:ascii="Times New Roman" w:hAnsi="Times New Roman" w:cs="Times New Roman"/>
          <w:b w:val="0"/>
          <w:spacing w:val="21"/>
          <w:w w:val="105"/>
          <w:sz w:val="22"/>
          <w:szCs w:val="22"/>
        </w:rPr>
        <w:t xml:space="preserve"> </w:t>
      </w:r>
      <w:r w:rsidRPr="006F7C42">
        <w:rPr>
          <w:rFonts w:ascii="Times New Roman" w:hAnsi="Times New Roman" w:cs="Times New Roman"/>
          <w:b w:val="0"/>
          <w:w w:val="105"/>
          <w:sz w:val="22"/>
          <w:szCs w:val="22"/>
        </w:rPr>
        <w:t>du</w:t>
      </w:r>
      <w:r w:rsidRPr="006F7C42">
        <w:rPr>
          <w:rFonts w:ascii="Times New Roman" w:hAnsi="Times New Roman" w:cs="Times New Roman"/>
          <w:b w:val="0"/>
          <w:spacing w:val="17"/>
          <w:w w:val="105"/>
          <w:sz w:val="22"/>
          <w:szCs w:val="22"/>
        </w:rPr>
        <w:t xml:space="preserve"> </w:t>
      </w:r>
      <w:r w:rsidRPr="006F7C42">
        <w:rPr>
          <w:rFonts w:ascii="Times New Roman" w:hAnsi="Times New Roman" w:cs="Times New Roman"/>
          <w:b w:val="0"/>
          <w:w w:val="105"/>
          <w:sz w:val="22"/>
          <w:szCs w:val="22"/>
        </w:rPr>
        <w:t>4/09/79</w:t>
      </w:r>
      <w:r w:rsidRPr="006F7C42">
        <w:rPr>
          <w:rFonts w:ascii="Times New Roman" w:hAnsi="Times New Roman" w:cs="Times New Roman"/>
          <w:b w:val="0"/>
          <w:spacing w:val="27"/>
          <w:w w:val="105"/>
          <w:sz w:val="22"/>
          <w:szCs w:val="22"/>
        </w:rPr>
        <w:t xml:space="preserve"> </w:t>
      </w:r>
      <w:r w:rsidRPr="006F7C42">
        <w:rPr>
          <w:rFonts w:ascii="Times New Roman" w:hAnsi="Times New Roman" w:cs="Times New Roman"/>
          <w:b w:val="0"/>
          <w:w w:val="105"/>
          <w:sz w:val="22"/>
          <w:szCs w:val="22"/>
        </w:rPr>
        <w:t>relatif</w:t>
      </w:r>
      <w:r w:rsidRPr="006F7C42">
        <w:rPr>
          <w:rFonts w:ascii="Times New Roman" w:hAnsi="Times New Roman" w:cs="Times New Roman"/>
          <w:b w:val="0"/>
          <w:spacing w:val="21"/>
          <w:w w:val="105"/>
          <w:sz w:val="22"/>
          <w:szCs w:val="22"/>
        </w:rPr>
        <w:t xml:space="preserve"> </w:t>
      </w:r>
      <w:r w:rsidRPr="006F7C42">
        <w:rPr>
          <w:rFonts w:ascii="Times New Roman" w:hAnsi="Times New Roman" w:cs="Times New Roman"/>
          <w:b w:val="0"/>
          <w:w w:val="105"/>
          <w:sz w:val="22"/>
          <w:szCs w:val="22"/>
        </w:rPr>
        <w:t>au</w:t>
      </w:r>
      <w:r w:rsidRPr="006F7C42">
        <w:rPr>
          <w:rFonts w:ascii="Times New Roman" w:hAnsi="Times New Roman" w:cs="Times New Roman"/>
          <w:b w:val="0"/>
          <w:spacing w:val="21"/>
          <w:w w:val="105"/>
          <w:sz w:val="22"/>
          <w:szCs w:val="22"/>
        </w:rPr>
        <w:t xml:space="preserve"> </w:t>
      </w:r>
      <w:r w:rsidRPr="006F7C42">
        <w:rPr>
          <w:rFonts w:ascii="Times New Roman" w:hAnsi="Times New Roman" w:cs="Times New Roman"/>
          <w:b w:val="0"/>
          <w:w w:val="105"/>
          <w:sz w:val="22"/>
          <w:szCs w:val="22"/>
        </w:rPr>
        <w:t>contrat</w:t>
      </w:r>
      <w:r w:rsidRPr="006F7C42">
        <w:rPr>
          <w:rFonts w:ascii="Times New Roman" w:hAnsi="Times New Roman" w:cs="Times New Roman"/>
          <w:b w:val="0"/>
          <w:spacing w:val="17"/>
          <w:w w:val="105"/>
          <w:sz w:val="22"/>
          <w:szCs w:val="22"/>
        </w:rPr>
        <w:t xml:space="preserve"> </w:t>
      </w:r>
      <w:r w:rsidRPr="006F7C42">
        <w:rPr>
          <w:rFonts w:ascii="Times New Roman" w:hAnsi="Times New Roman" w:cs="Times New Roman"/>
          <w:b w:val="0"/>
          <w:w w:val="105"/>
          <w:sz w:val="22"/>
          <w:szCs w:val="22"/>
        </w:rPr>
        <w:t>de</w:t>
      </w:r>
      <w:r w:rsidRPr="006F7C42">
        <w:rPr>
          <w:rFonts w:ascii="Times New Roman" w:hAnsi="Times New Roman" w:cs="Times New Roman"/>
          <w:b w:val="0"/>
          <w:spacing w:val="8"/>
          <w:w w:val="105"/>
          <w:sz w:val="22"/>
          <w:szCs w:val="22"/>
        </w:rPr>
        <w:t xml:space="preserve"> </w:t>
      </w:r>
      <w:r w:rsidRPr="006F7C42">
        <w:rPr>
          <w:rFonts w:ascii="Times New Roman" w:hAnsi="Times New Roman" w:cs="Times New Roman"/>
          <w:b w:val="0"/>
          <w:w w:val="105"/>
          <w:sz w:val="22"/>
          <w:szCs w:val="22"/>
        </w:rPr>
        <w:t>capitalisation (Arrêté de promulgation n° 3956 AA du 9/03/81, JOPF 31/03/81, p. 271) ;</w:t>
      </w:r>
    </w:p>
    <w:p w14:paraId="38AC9EBF" w14:textId="77777777" w:rsidR="000819C7" w:rsidRPr="006F7C42" w:rsidRDefault="000819C7" w:rsidP="000819C7">
      <w:pPr>
        <w:pStyle w:val="Titre"/>
        <w:ind w:left="142" w:hanging="142"/>
        <w:jc w:val="both"/>
        <w:rPr>
          <w:rFonts w:ascii="Times New Roman" w:hAnsi="Times New Roman" w:cs="Times New Roman"/>
          <w:b w:val="0"/>
          <w:w w:val="105"/>
          <w:sz w:val="22"/>
          <w:szCs w:val="22"/>
        </w:rPr>
      </w:pPr>
      <w:r w:rsidRPr="006F7C42">
        <w:rPr>
          <w:rFonts w:ascii="Times New Roman" w:hAnsi="Times New Roman" w:cs="Times New Roman"/>
          <w:b w:val="0"/>
          <w:w w:val="105"/>
          <w:sz w:val="22"/>
          <w:szCs w:val="22"/>
        </w:rPr>
        <w:t>- Décret</w:t>
      </w:r>
      <w:r w:rsidRPr="006F7C42">
        <w:rPr>
          <w:rFonts w:ascii="Times New Roman" w:hAnsi="Times New Roman" w:cs="Times New Roman"/>
          <w:b w:val="0"/>
          <w:spacing w:val="26"/>
          <w:w w:val="105"/>
          <w:sz w:val="22"/>
          <w:szCs w:val="22"/>
        </w:rPr>
        <w:t xml:space="preserve"> </w:t>
      </w:r>
      <w:r w:rsidRPr="006F7C42">
        <w:rPr>
          <w:rFonts w:ascii="Times New Roman" w:hAnsi="Times New Roman" w:cs="Times New Roman"/>
          <w:b w:val="0"/>
          <w:w w:val="105"/>
          <w:sz w:val="22"/>
          <w:szCs w:val="22"/>
        </w:rPr>
        <w:t>n°</w:t>
      </w:r>
      <w:r w:rsidRPr="006F7C42">
        <w:rPr>
          <w:rFonts w:ascii="Times New Roman" w:hAnsi="Times New Roman" w:cs="Times New Roman"/>
          <w:b w:val="0"/>
          <w:spacing w:val="26"/>
          <w:w w:val="105"/>
          <w:sz w:val="22"/>
          <w:szCs w:val="22"/>
        </w:rPr>
        <w:t xml:space="preserve"> </w:t>
      </w:r>
      <w:r w:rsidRPr="006F7C42">
        <w:rPr>
          <w:rFonts w:ascii="Times New Roman" w:hAnsi="Times New Roman" w:cs="Times New Roman"/>
          <w:b w:val="0"/>
          <w:w w:val="105"/>
          <w:sz w:val="22"/>
          <w:szCs w:val="22"/>
        </w:rPr>
        <w:t>80-759</w:t>
      </w:r>
      <w:r w:rsidRPr="006F7C42">
        <w:rPr>
          <w:rFonts w:ascii="Times New Roman" w:hAnsi="Times New Roman" w:cs="Times New Roman"/>
          <w:b w:val="0"/>
          <w:spacing w:val="19"/>
          <w:w w:val="105"/>
          <w:sz w:val="22"/>
          <w:szCs w:val="22"/>
        </w:rPr>
        <w:t xml:space="preserve"> </w:t>
      </w:r>
      <w:r w:rsidRPr="006F7C42">
        <w:rPr>
          <w:rFonts w:ascii="Times New Roman" w:hAnsi="Times New Roman" w:cs="Times New Roman"/>
          <w:b w:val="0"/>
          <w:w w:val="105"/>
          <w:sz w:val="22"/>
          <w:szCs w:val="22"/>
        </w:rPr>
        <w:t>du</w:t>
      </w:r>
      <w:r w:rsidRPr="006F7C42">
        <w:rPr>
          <w:rFonts w:ascii="Times New Roman" w:hAnsi="Times New Roman" w:cs="Times New Roman"/>
          <w:b w:val="0"/>
          <w:spacing w:val="21"/>
          <w:w w:val="105"/>
          <w:sz w:val="22"/>
          <w:szCs w:val="22"/>
        </w:rPr>
        <w:t xml:space="preserve"> </w:t>
      </w:r>
      <w:r w:rsidRPr="006F7C42">
        <w:rPr>
          <w:rFonts w:ascii="Times New Roman" w:hAnsi="Times New Roman" w:cs="Times New Roman"/>
          <w:b w:val="0"/>
          <w:w w:val="105"/>
          <w:sz w:val="22"/>
          <w:szCs w:val="22"/>
        </w:rPr>
        <w:t>22/09/80</w:t>
      </w:r>
      <w:r w:rsidRPr="006F7C42">
        <w:rPr>
          <w:rFonts w:ascii="Times New Roman" w:hAnsi="Times New Roman" w:cs="Times New Roman"/>
          <w:b w:val="0"/>
          <w:spacing w:val="28"/>
          <w:w w:val="105"/>
          <w:sz w:val="22"/>
          <w:szCs w:val="22"/>
        </w:rPr>
        <w:t xml:space="preserve"> </w:t>
      </w:r>
      <w:r w:rsidRPr="006F7C42">
        <w:rPr>
          <w:rFonts w:ascii="Times New Roman" w:hAnsi="Times New Roman" w:cs="Times New Roman"/>
          <w:b w:val="0"/>
          <w:w w:val="105"/>
          <w:sz w:val="22"/>
          <w:szCs w:val="22"/>
        </w:rPr>
        <w:t>portant</w:t>
      </w:r>
      <w:r w:rsidRPr="006F7C42">
        <w:rPr>
          <w:rFonts w:ascii="Times New Roman" w:hAnsi="Times New Roman" w:cs="Times New Roman"/>
          <w:b w:val="0"/>
          <w:spacing w:val="32"/>
          <w:w w:val="105"/>
          <w:sz w:val="22"/>
          <w:szCs w:val="22"/>
        </w:rPr>
        <w:t xml:space="preserve"> </w:t>
      </w:r>
      <w:r w:rsidRPr="006F7C42">
        <w:rPr>
          <w:rFonts w:ascii="Times New Roman" w:hAnsi="Times New Roman" w:cs="Times New Roman"/>
          <w:b w:val="0"/>
          <w:w w:val="105"/>
          <w:sz w:val="22"/>
          <w:szCs w:val="22"/>
        </w:rPr>
        <w:t>modification</w:t>
      </w:r>
      <w:r w:rsidRPr="006F7C42">
        <w:rPr>
          <w:rFonts w:ascii="Times New Roman" w:hAnsi="Times New Roman" w:cs="Times New Roman"/>
          <w:b w:val="0"/>
          <w:spacing w:val="35"/>
          <w:w w:val="105"/>
          <w:sz w:val="22"/>
          <w:szCs w:val="22"/>
        </w:rPr>
        <w:t xml:space="preserve"> </w:t>
      </w:r>
      <w:r w:rsidRPr="006F7C42">
        <w:rPr>
          <w:rFonts w:ascii="Times New Roman" w:hAnsi="Times New Roman" w:cs="Times New Roman"/>
          <w:b w:val="0"/>
          <w:w w:val="105"/>
          <w:sz w:val="22"/>
          <w:szCs w:val="22"/>
        </w:rPr>
        <w:t>des</w:t>
      </w:r>
      <w:r w:rsidRPr="006F7C42">
        <w:rPr>
          <w:rFonts w:ascii="Times New Roman" w:hAnsi="Times New Roman" w:cs="Times New Roman"/>
          <w:b w:val="0"/>
          <w:spacing w:val="8"/>
          <w:w w:val="105"/>
          <w:sz w:val="22"/>
          <w:szCs w:val="22"/>
        </w:rPr>
        <w:t xml:space="preserve"> </w:t>
      </w:r>
      <w:r w:rsidRPr="006F7C42">
        <w:rPr>
          <w:rFonts w:ascii="Times New Roman" w:hAnsi="Times New Roman" w:cs="Times New Roman"/>
          <w:b w:val="0"/>
          <w:w w:val="105"/>
          <w:sz w:val="22"/>
          <w:szCs w:val="22"/>
        </w:rPr>
        <w:t>articles</w:t>
      </w:r>
      <w:r w:rsidRPr="006F7C42">
        <w:rPr>
          <w:rFonts w:ascii="Times New Roman" w:hAnsi="Times New Roman" w:cs="Times New Roman"/>
          <w:b w:val="0"/>
          <w:spacing w:val="22"/>
          <w:w w:val="105"/>
          <w:sz w:val="22"/>
          <w:szCs w:val="22"/>
        </w:rPr>
        <w:t xml:space="preserve"> </w:t>
      </w:r>
      <w:r w:rsidRPr="006F7C42">
        <w:rPr>
          <w:rFonts w:ascii="Times New Roman" w:hAnsi="Times New Roman" w:cs="Times New Roman"/>
          <w:b w:val="0"/>
          <w:w w:val="105"/>
          <w:sz w:val="22"/>
          <w:szCs w:val="22"/>
        </w:rPr>
        <w:t>R332-2</w:t>
      </w:r>
      <w:r w:rsidRPr="006F7C42">
        <w:rPr>
          <w:rFonts w:ascii="Times New Roman" w:hAnsi="Times New Roman" w:cs="Times New Roman"/>
          <w:b w:val="0"/>
          <w:spacing w:val="19"/>
          <w:w w:val="105"/>
          <w:sz w:val="22"/>
          <w:szCs w:val="22"/>
        </w:rPr>
        <w:t xml:space="preserve"> </w:t>
      </w:r>
      <w:r w:rsidRPr="006F7C42">
        <w:rPr>
          <w:rFonts w:ascii="Times New Roman" w:hAnsi="Times New Roman" w:cs="Times New Roman"/>
          <w:b w:val="0"/>
          <w:w w:val="105"/>
          <w:sz w:val="22"/>
          <w:szCs w:val="22"/>
        </w:rPr>
        <w:t>et</w:t>
      </w:r>
      <w:r w:rsidRPr="006F7C42">
        <w:rPr>
          <w:rFonts w:ascii="Times New Roman" w:hAnsi="Times New Roman" w:cs="Times New Roman"/>
          <w:b w:val="0"/>
          <w:spacing w:val="20"/>
          <w:w w:val="105"/>
          <w:sz w:val="22"/>
          <w:szCs w:val="22"/>
        </w:rPr>
        <w:t xml:space="preserve"> </w:t>
      </w:r>
      <w:r w:rsidRPr="006F7C42">
        <w:rPr>
          <w:rFonts w:ascii="Times New Roman" w:hAnsi="Times New Roman" w:cs="Times New Roman"/>
          <w:b w:val="0"/>
          <w:w w:val="105"/>
          <w:sz w:val="22"/>
          <w:szCs w:val="22"/>
        </w:rPr>
        <w:t>R332-3</w:t>
      </w:r>
      <w:r w:rsidRPr="006F7C42">
        <w:rPr>
          <w:rFonts w:ascii="Times New Roman" w:hAnsi="Times New Roman" w:cs="Times New Roman"/>
          <w:b w:val="0"/>
          <w:spacing w:val="26"/>
          <w:w w:val="105"/>
          <w:sz w:val="22"/>
          <w:szCs w:val="22"/>
        </w:rPr>
        <w:t xml:space="preserve"> </w:t>
      </w:r>
      <w:r w:rsidRPr="006F7C42">
        <w:rPr>
          <w:rFonts w:ascii="Times New Roman" w:hAnsi="Times New Roman" w:cs="Times New Roman"/>
          <w:b w:val="0"/>
          <w:w w:val="105"/>
          <w:sz w:val="22"/>
          <w:szCs w:val="22"/>
        </w:rPr>
        <w:t>du</w:t>
      </w:r>
      <w:r w:rsidRPr="006F7C42">
        <w:rPr>
          <w:rFonts w:ascii="Times New Roman" w:hAnsi="Times New Roman" w:cs="Times New Roman"/>
          <w:b w:val="0"/>
          <w:spacing w:val="20"/>
          <w:w w:val="105"/>
          <w:sz w:val="22"/>
          <w:szCs w:val="22"/>
        </w:rPr>
        <w:t xml:space="preserve"> </w:t>
      </w:r>
      <w:r w:rsidRPr="006F7C42">
        <w:rPr>
          <w:rFonts w:ascii="Times New Roman" w:hAnsi="Times New Roman" w:cs="Times New Roman"/>
          <w:b w:val="0"/>
          <w:w w:val="105"/>
          <w:sz w:val="22"/>
          <w:szCs w:val="22"/>
        </w:rPr>
        <w:t>code</w:t>
      </w:r>
      <w:r w:rsidRPr="006F7C42">
        <w:rPr>
          <w:rFonts w:ascii="Times New Roman" w:hAnsi="Times New Roman" w:cs="Times New Roman"/>
          <w:b w:val="0"/>
          <w:spacing w:val="14"/>
          <w:w w:val="105"/>
          <w:sz w:val="22"/>
          <w:szCs w:val="22"/>
        </w:rPr>
        <w:t xml:space="preserve"> </w:t>
      </w:r>
      <w:r w:rsidRPr="006F7C42">
        <w:rPr>
          <w:rFonts w:ascii="Times New Roman" w:hAnsi="Times New Roman" w:cs="Times New Roman"/>
          <w:b w:val="0"/>
          <w:w w:val="105"/>
          <w:sz w:val="22"/>
          <w:szCs w:val="22"/>
        </w:rPr>
        <w:t>des</w:t>
      </w:r>
      <w:r w:rsidRPr="006F7C42">
        <w:rPr>
          <w:rFonts w:ascii="Times New Roman" w:hAnsi="Times New Roman" w:cs="Times New Roman"/>
          <w:b w:val="0"/>
          <w:spacing w:val="14"/>
          <w:w w:val="105"/>
          <w:sz w:val="22"/>
          <w:szCs w:val="22"/>
        </w:rPr>
        <w:t xml:space="preserve"> </w:t>
      </w:r>
      <w:r w:rsidRPr="006F7C42">
        <w:rPr>
          <w:rFonts w:ascii="Times New Roman" w:hAnsi="Times New Roman" w:cs="Times New Roman"/>
          <w:b w:val="0"/>
          <w:w w:val="105"/>
          <w:sz w:val="22"/>
          <w:szCs w:val="22"/>
        </w:rPr>
        <w:t>assurances (Arrêté de promulgation n° 3816 AA du 27/02/81, JOPF 15/03/81, p. 227) ;</w:t>
      </w:r>
    </w:p>
    <w:p w14:paraId="5152C4ED" w14:textId="77777777" w:rsidR="000819C7" w:rsidRPr="006F7C42" w:rsidRDefault="000819C7" w:rsidP="000819C7">
      <w:pPr>
        <w:pStyle w:val="Titre"/>
        <w:ind w:left="142" w:hanging="142"/>
        <w:jc w:val="both"/>
        <w:rPr>
          <w:rFonts w:ascii="Times New Roman" w:hAnsi="Times New Roman" w:cs="Times New Roman"/>
          <w:b w:val="0"/>
          <w:w w:val="105"/>
          <w:sz w:val="22"/>
          <w:szCs w:val="22"/>
        </w:rPr>
      </w:pPr>
      <w:r w:rsidRPr="006F7C42">
        <w:rPr>
          <w:rFonts w:ascii="Times New Roman" w:hAnsi="Times New Roman" w:cs="Times New Roman"/>
          <w:b w:val="0"/>
          <w:w w:val="105"/>
          <w:sz w:val="22"/>
          <w:szCs w:val="22"/>
        </w:rPr>
        <w:t>- Décret</w:t>
      </w:r>
      <w:r w:rsidRPr="006F7C42">
        <w:rPr>
          <w:rFonts w:ascii="Times New Roman" w:hAnsi="Times New Roman" w:cs="Times New Roman"/>
          <w:b w:val="0"/>
          <w:spacing w:val="32"/>
          <w:w w:val="105"/>
          <w:sz w:val="22"/>
          <w:szCs w:val="22"/>
        </w:rPr>
        <w:t xml:space="preserve"> </w:t>
      </w:r>
      <w:r w:rsidRPr="006F7C42">
        <w:rPr>
          <w:rFonts w:ascii="Times New Roman" w:hAnsi="Times New Roman" w:cs="Times New Roman"/>
          <w:b w:val="0"/>
          <w:w w:val="105"/>
          <w:sz w:val="22"/>
          <w:szCs w:val="22"/>
        </w:rPr>
        <w:t>n°</w:t>
      </w:r>
      <w:r w:rsidRPr="006F7C42">
        <w:rPr>
          <w:rFonts w:ascii="Times New Roman" w:hAnsi="Times New Roman" w:cs="Times New Roman"/>
          <w:b w:val="0"/>
          <w:spacing w:val="27"/>
          <w:w w:val="105"/>
          <w:sz w:val="22"/>
          <w:szCs w:val="22"/>
        </w:rPr>
        <w:t xml:space="preserve"> </w:t>
      </w:r>
      <w:r w:rsidRPr="006F7C42">
        <w:rPr>
          <w:rFonts w:ascii="Times New Roman" w:hAnsi="Times New Roman" w:cs="Times New Roman"/>
          <w:b w:val="0"/>
          <w:w w:val="105"/>
          <w:sz w:val="22"/>
          <w:szCs w:val="22"/>
        </w:rPr>
        <w:t>81-443</w:t>
      </w:r>
      <w:r w:rsidRPr="006F7C42">
        <w:rPr>
          <w:rFonts w:ascii="Times New Roman" w:hAnsi="Times New Roman" w:cs="Times New Roman"/>
          <w:b w:val="0"/>
          <w:spacing w:val="20"/>
          <w:w w:val="105"/>
          <w:sz w:val="22"/>
          <w:szCs w:val="22"/>
        </w:rPr>
        <w:t xml:space="preserve"> </w:t>
      </w:r>
      <w:r w:rsidRPr="006F7C42">
        <w:rPr>
          <w:rFonts w:ascii="Times New Roman" w:hAnsi="Times New Roman" w:cs="Times New Roman"/>
          <w:b w:val="0"/>
          <w:w w:val="105"/>
          <w:sz w:val="22"/>
          <w:szCs w:val="22"/>
        </w:rPr>
        <w:t>du</w:t>
      </w:r>
      <w:r w:rsidRPr="006F7C42">
        <w:rPr>
          <w:rFonts w:ascii="Times New Roman" w:hAnsi="Times New Roman" w:cs="Times New Roman"/>
          <w:b w:val="0"/>
          <w:spacing w:val="22"/>
          <w:w w:val="105"/>
          <w:sz w:val="22"/>
          <w:szCs w:val="22"/>
        </w:rPr>
        <w:t xml:space="preserve"> </w:t>
      </w:r>
      <w:r w:rsidRPr="006F7C42">
        <w:rPr>
          <w:rFonts w:ascii="Times New Roman" w:hAnsi="Times New Roman" w:cs="Times New Roman"/>
          <w:b w:val="0"/>
          <w:w w:val="105"/>
          <w:sz w:val="22"/>
          <w:szCs w:val="22"/>
        </w:rPr>
        <w:t>7/05/81</w:t>
      </w:r>
      <w:r w:rsidRPr="006F7C42">
        <w:rPr>
          <w:rFonts w:ascii="Times New Roman" w:hAnsi="Times New Roman" w:cs="Times New Roman"/>
          <w:b w:val="0"/>
          <w:spacing w:val="28"/>
          <w:w w:val="105"/>
          <w:sz w:val="22"/>
          <w:szCs w:val="22"/>
        </w:rPr>
        <w:t xml:space="preserve"> </w:t>
      </w:r>
      <w:r w:rsidRPr="006F7C42">
        <w:rPr>
          <w:rFonts w:ascii="Times New Roman" w:hAnsi="Times New Roman" w:cs="Times New Roman"/>
          <w:b w:val="0"/>
          <w:w w:val="105"/>
          <w:sz w:val="22"/>
          <w:szCs w:val="22"/>
        </w:rPr>
        <w:t>modifiant</w:t>
      </w:r>
      <w:r w:rsidRPr="006F7C42">
        <w:rPr>
          <w:rFonts w:ascii="Times New Roman" w:hAnsi="Times New Roman" w:cs="Times New Roman"/>
          <w:b w:val="0"/>
          <w:spacing w:val="41"/>
          <w:w w:val="105"/>
          <w:sz w:val="22"/>
          <w:szCs w:val="22"/>
        </w:rPr>
        <w:t xml:space="preserve"> </w:t>
      </w:r>
      <w:r w:rsidRPr="006F7C42">
        <w:rPr>
          <w:rFonts w:ascii="Times New Roman" w:hAnsi="Times New Roman" w:cs="Times New Roman"/>
          <w:b w:val="0"/>
          <w:w w:val="105"/>
          <w:sz w:val="22"/>
          <w:szCs w:val="22"/>
        </w:rPr>
        <w:t>le</w:t>
      </w:r>
      <w:r w:rsidRPr="006F7C42">
        <w:rPr>
          <w:rFonts w:ascii="Times New Roman" w:hAnsi="Times New Roman" w:cs="Times New Roman"/>
          <w:b w:val="0"/>
          <w:spacing w:val="16"/>
          <w:w w:val="105"/>
          <w:sz w:val="22"/>
          <w:szCs w:val="22"/>
        </w:rPr>
        <w:t xml:space="preserve"> </w:t>
      </w:r>
      <w:r w:rsidRPr="006F7C42">
        <w:rPr>
          <w:rFonts w:ascii="Times New Roman" w:hAnsi="Times New Roman" w:cs="Times New Roman"/>
          <w:b w:val="0"/>
          <w:w w:val="105"/>
          <w:sz w:val="22"/>
          <w:szCs w:val="22"/>
        </w:rPr>
        <w:t>code</w:t>
      </w:r>
      <w:r w:rsidRPr="006F7C42">
        <w:rPr>
          <w:rFonts w:ascii="Times New Roman" w:hAnsi="Times New Roman" w:cs="Times New Roman"/>
          <w:b w:val="0"/>
          <w:spacing w:val="12"/>
          <w:w w:val="105"/>
          <w:sz w:val="22"/>
          <w:szCs w:val="22"/>
        </w:rPr>
        <w:t xml:space="preserve"> </w:t>
      </w:r>
      <w:r w:rsidRPr="006F7C42">
        <w:rPr>
          <w:rFonts w:ascii="Times New Roman" w:hAnsi="Times New Roman" w:cs="Times New Roman"/>
          <w:b w:val="0"/>
          <w:w w:val="105"/>
          <w:sz w:val="22"/>
          <w:szCs w:val="22"/>
        </w:rPr>
        <w:t>des</w:t>
      </w:r>
      <w:r w:rsidRPr="006F7C42">
        <w:rPr>
          <w:rFonts w:ascii="Times New Roman" w:hAnsi="Times New Roman" w:cs="Times New Roman"/>
          <w:b w:val="0"/>
          <w:spacing w:val="8"/>
          <w:w w:val="105"/>
          <w:sz w:val="22"/>
          <w:szCs w:val="22"/>
        </w:rPr>
        <w:t xml:space="preserve"> </w:t>
      </w:r>
      <w:r w:rsidRPr="006F7C42">
        <w:rPr>
          <w:rFonts w:ascii="Times New Roman" w:hAnsi="Times New Roman" w:cs="Times New Roman"/>
          <w:b w:val="0"/>
          <w:w w:val="105"/>
          <w:sz w:val="22"/>
          <w:szCs w:val="22"/>
        </w:rPr>
        <w:t>assurances</w:t>
      </w:r>
      <w:r w:rsidRPr="006F7C42">
        <w:rPr>
          <w:rFonts w:ascii="Times New Roman" w:hAnsi="Times New Roman" w:cs="Times New Roman"/>
          <w:b w:val="0"/>
          <w:spacing w:val="25"/>
          <w:w w:val="105"/>
          <w:sz w:val="22"/>
          <w:szCs w:val="22"/>
        </w:rPr>
        <w:t xml:space="preserve"> </w:t>
      </w:r>
      <w:r w:rsidRPr="006F7C42">
        <w:rPr>
          <w:rFonts w:ascii="Times New Roman" w:hAnsi="Times New Roman" w:cs="Times New Roman"/>
          <w:b w:val="0"/>
          <w:w w:val="105"/>
          <w:sz w:val="22"/>
          <w:szCs w:val="22"/>
        </w:rPr>
        <w:t>en</w:t>
      </w:r>
      <w:r w:rsidRPr="006F7C42">
        <w:rPr>
          <w:rFonts w:ascii="Times New Roman" w:hAnsi="Times New Roman" w:cs="Times New Roman"/>
          <w:b w:val="0"/>
          <w:spacing w:val="23"/>
          <w:w w:val="105"/>
          <w:sz w:val="22"/>
          <w:szCs w:val="22"/>
        </w:rPr>
        <w:t xml:space="preserve"> </w:t>
      </w:r>
      <w:r w:rsidRPr="006F7C42">
        <w:rPr>
          <w:rFonts w:ascii="Times New Roman" w:hAnsi="Times New Roman" w:cs="Times New Roman"/>
          <w:b w:val="0"/>
          <w:w w:val="105"/>
          <w:sz w:val="22"/>
          <w:szCs w:val="22"/>
        </w:rPr>
        <w:t>ce</w:t>
      </w:r>
      <w:r w:rsidRPr="006F7C42">
        <w:rPr>
          <w:rFonts w:ascii="Times New Roman" w:hAnsi="Times New Roman" w:cs="Times New Roman"/>
          <w:b w:val="0"/>
          <w:spacing w:val="8"/>
          <w:w w:val="105"/>
          <w:sz w:val="22"/>
          <w:szCs w:val="22"/>
        </w:rPr>
        <w:t xml:space="preserve"> </w:t>
      </w:r>
      <w:r w:rsidRPr="006F7C42">
        <w:rPr>
          <w:rFonts w:ascii="Times New Roman" w:hAnsi="Times New Roman" w:cs="Times New Roman"/>
          <w:b w:val="0"/>
          <w:w w:val="105"/>
          <w:sz w:val="22"/>
          <w:szCs w:val="22"/>
        </w:rPr>
        <w:t>qui</w:t>
      </w:r>
      <w:r w:rsidRPr="006F7C42">
        <w:rPr>
          <w:rFonts w:ascii="Times New Roman" w:hAnsi="Times New Roman" w:cs="Times New Roman"/>
          <w:b w:val="0"/>
          <w:spacing w:val="22"/>
          <w:w w:val="105"/>
          <w:sz w:val="22"/>
          <w:szCs w:val="22"/>
        </w:rPr>
        <w:t xml:space="preserve"> </w:t>
      </w:r>
      <w:r w:rsidRPr="006F7C42">
        <w:rPr>
          <w:rFonts w:ascii="Times New Roman" w:hAnsi="Times New Roman" w:cs="Times New Roman"/>
          <w:b w:val="0"/>
          <w:w w:val="105"/>
          <w:sz w:val="22"/>
          <w:szCs w:val="22"/>
        </w:rPr>
        <w:t>concerne</w:t>
      </w:r>
      <w:r w:rsidRPr="006F7C42">
        <w:rPr>
          <w:rFonts w:ascii="Times New Roman" w:hAnsi="Times New Roman" w:cs="Times New Roman"/>
          <w:b w:val="0"/>
          <w:spacing w:val="21"/>
          <w:w w:val="105"/>
          <w:sz w:val="22"/>
          <w:szCs w:val="22"/>
        </w:rPr>
        <w:t xml:space="preserve"> </w:t>
      </w:r>
      <w:r w:rsidRPr="006F7C42">
        <w:rPr>
          <w:rFonts w:ascii="Times New Roman" w:hAnsi="Times New Roman" w:cs="Times New Roman"/>
          <w:b w:val="0"/>
          <w:w w:val="105"/>
          <w:sz w:val="22"/>
          <w:szCs w:val="22"/>
        </w:rPr>
        <w:t>la</w:t>
      </w:r>
      <w:r w:rsidRPr="006F7C42">
        <w:rPr>
          <w:rFonts w:ascii="Times New Roman" w:hAnsi="Times New Roman" w:cs="Times New Roman"/>
          <w:b w:val="0"/>
          <w:spacing w:val="10"/>
          <w:w w:val="105"/>
          <w:sz w:val="22"/>
          <w:szCs w:val="22"/>
        </w:rPr>
        <w:t xml:space="preserve"> </w:t>
      </w:r>
      <w:r w:rsidRPr="006F7C42">
        <w:rPr>
          <w:rFonts w:ascii="Times New Roman" w:hAnsi="Times New Roman" w:cs="Times New Roman"/>
          <w:b w:val="0"/>
          <w:w w:val="105"/>
          <w:sz w:val="22"/>
          <w:szCs w:val="22"/>
        </w:rPr>
        <w:t>coassurance</w:t>
      </w:r>
      <w:r w:rsidRPr="006F7C42">
        <w:rPr>
          <w:rFonts w:ascii="Times New Roman" w:hAnsi="Times New Roman" w:cs="Times New Roman"/>
          <w:b w:val="0"/>
          <w:spacing w:val="25"/>
          <w:w w:val="105"/>
          <w:sz w:val="22"/>
          <w:szCs w:val="22"/>
        </w:rPr>
        <w:t xml:space="preserve"> </w:t>
      </w:r>
      <w:r w:rsidRPr="006F7C42">
        <w:rPr>
          <w:rFonts w:ascii="Times New Roman" w:hAnsi="Times New Roman" w:cs="Times New Roman"/>
          <w:b w:val="0"/>
          <w:w w:val="105"/>
          <w:sz w:val="22"/>
          <w:szCs w:val="22"/>
        </w:rPr>
        <w:t>communautaire (Arrêté de promulgation n° 9090 AA du 13/11/81, JOPF 30/11/81, p. 1151) ;</w:t>
      </w:r>
    </w:p>
    <w:p w14:paraId="6F599322" w14:textId="77777777" w:rsidR="000819C7" w:rsidRPr="006F7C42" w:rsidRDefault="000819C7" w:rsidP="000819C7">
      <w:pPr>
        <w:pStyle w:val="Titre"/>
        <w:ind w:left="142" w:hanging="142"/>
        <w:jc w:val="both"/>
        <w:rPr>
          <w:rFonts w:ascii="Times New Roman" w:hAnsi="Times New Roman" w:cs="Times New Roman"/>
          <w:b w:val="0"/>
          <w:w w:val="105"/>
          <w:sz w:val="22"/>
          <w:szCs w:val="22"/>
        </w:rPr>
      </w:pPr>
      <w:r w:rsidRPr="006F7C42">
        <w:rPr>
          <w:rFonts w:ascii="Times New Roman" w:hAnsi="Times New Roman" w:cs="Times New Roman"/>
          <w:b w:val="0"/>
          <w:w w:val="105"/>
          <w:sz w:val="22"/>
          <w:szCs w:val="22"/>
        </w:rPr>
        <w:t>- Décret</w:t>
      </w:r>
      <w:r w:rsidRPr="006F7C42">
        <w:rPr>
          <w:rFonts w:ascii="Times New Roman" w:hAnsi="Times New Roman" w:cs="Times New Roman"/>
          <w:b w:val="0"/>
          <w:spacing w:val="30"/>
          <w:w w:val="105"/>
          <w:sz w:val="22"/>
          <w:szCs w:val="22"/>
        </w:rPr>
        <w:t xml:space="preserve"> </w:t>
      </w:r>
      <w:r w:rsidRPr="006F7C42">
        <w:rPr>
          <w:rFonts w:ascii="Times New Roman" w:hAnsi="Times New Roman" w:cs="Times New Roman"/>
          <w:b w:val="0"/>
          <w:w w:val="105"/>
          <w:sz w:val="22"/>
          <w:szCs w:val="22"/>
        </w:rPr>
        <w:t>n°</w:t>
      </w:r>
      <w:r w:rsidRPr="006F7C42">
        <w:rPr>
          <w:rFonts w:ascii="Times New Roman" w:hAnsi="Times New Roman" w:cs="Times New Roman"/>
          <w:b w:val="0"/>
          <w:spacing w:val="25"/>
          <w:w w:val="105"/>
          <w:sz w:val="22"/>
          <w:szCs w:val="22"/>
        </w:rPr>
        <w:t xml:space="preserve"> </w:t>
      </w:r>
      <w:r w:rsidRPr="006F7C42">
        <w:rPr>
          <w:rFonts w:ascii="Times New Roman" w:hAnsi="Times New Roman" w:cs="Times New Roman"/>
          <w:b w:val="0"/>
          <w:w w:val="105"/>
          <w:sz w:val="22"/>
          <w:szCs w:val="22"/>
        </w:rPr>
        <w:t>81-591</w:t>
      </w:r>
      <w:r w:rsidRPr="006F7C42">
        <w:rPr>
          <w:rFonts w:ascii="Times New Roman" w:hAnsi="Times New Roman" w:cs="Times New Roman"/>
          <w:b w:val="0"/>
          <w:spacing w:val="19"/>
          <w:w w:val="105"/>
          <w:sz w:val="22"/>
          <w:szCs w:val="22"/>
        </w:rPr>
        <w:t xml:space="preserve"> </w:t>
      </w:r>
      <w:r w:rsidRPr="006F7C42">
        <w:rPr>
          <w:rFonts w:ascii="Times New Roman" w:hAnsi="Times New Roman" w:cs="Times New Roman"/>
          <w:b w:val="0"/>
          <w:w w:val="105"/>
          <w:sz w:val="22"/>
          <w:szCs w:val="22"/>
        </w:rPr>
        <w:t>du</w:t>
      </w:r>
      <w:r w:rsidRPr="006F7C42">
        <w:rPr>
          <w:rFonts w:ascii="Times New Roman" w:hAnsi="Times New Roman" w:cs="Times New Roman"/>
          <w:b w:val="0"/>
          <w:spacing w:val="39"/>
          <w:w w:val="105"/>
          <w:sz w:val="22"/>
          <w:szCs w:val="22"/>
        </w:rPr>
        <w:t xml:space="preserve"> </w:t>
      </w:r>
      <w:r w:rsidRPr="006F7C42">
        <w:rPr>
          <w:rFonts w:ascii="Times New Roman" w:hAnsi="Times New Roman" w:cs="Times New Roman"/>
          <w:b w:val="0"/>
          <w:w w:val="105"/>
          <w:sz w:val="22"/>
          <w:szCs w:val="22"/>
        </w:rPr>
        <w:t>15/05/81</w:t>
      </w:r>
      <w:r w:rsidRPr="006F7C42">
        <w:rPr>
          <w:rFonts w:ascii="Times New Roman" w:hAnsi="Times New Roman" w:cs="Times New Roman"/>
          <w:b w:val="0"/>
          <w:spacing w:val="24"/>
          <w:w w:val="105"/>
          <w:sz w:val="22"/>
          <w:szCs w:val="22"/>
        </w:rPr>
        <w:t xml:space="preserve"> </w:t>
      </w:r>
      <w:r w:rsidRPr="006F7C42">
        <w:rPr>
          <w:rFonts w:ascii="Times New Roman" w:hAnsi="Times New Roman" w:cs="Times New Roman"/>
          <w:b w:val="0"/>
          <w:w w:val="105"/>
          <w:sz w:val="22"/>
          <w:szCs w:val="22"/>
        </w:rPr>
        <w:t>portant</w:t>
      </w:r>
      <w:r w:rsidRPr="006F7C42">
        <w:rPr>
          <w:rFonts w:ascii="Times New Roman" w:hAnsi="Times New Roman" w:cs="Times New Roman"/>
          <w:b w:val="0"/>
          <w:spacing w:val="24"/>
          <w:w w:val="105"/>
          <w:sz w:val="22"/>
          <w:szCs w:val="22"/>
        </w:rPr>
        <w:t xml:space="preserve"> </w:t>
      </w:r>
      <w:r w:rsidRPr="006F7C42">
        <w:rPr>
          <w:rFonts w:ascii="Times New Roman" w:hAnsi="Times New Roman" w:cs="Times New Roman"/>
          <w:b w:val="0"/>
          <w:w w:val="105"/>
          <w:sz w:val="22"/>
          <w:szCs w:val="22"/>
        </w:rPr>
        <w:t>modification</w:t>
      </w:r>
      <w:r w:rsidRPr="006F7C42">
        <w:rPr>
          <w:rFonts w:ascii="Times New Roman" w:hAnsi="Times New Roman" w:cs="Times New Roman"/>
          <w:b w:val="0"/>
          <w:spacing w:val="45"/>
          <w:w w:val="105"/>
          <w:sz w:val="22"/>
          <w:szCs w:val="22"/>
        </w:rPr>
        <w:t xml:space="preserve"> </w:t>
      </w:r>
      <w:r w:rsidRPr="006F7C42">
        <w:rPr>
          <w:rFonts w:ascii="Times New Roman" w:hAnsi="Times New Roman" w:cs="Times New Roman"/>
          <w:b w:val="0"/>
          <w:w w:val="105"/>
          <w:sz w:val="22"/>
          <w:szCs w:val="22"/>
        </w:rPr>
        <w:t>des</w:t>
      </w:r>
      <w:r w:rsidRPr="006F7C42">
        <w:rPr>
          <w:rFonts w:ascii="Times New Roman" w:hAnsi="Times New Roman" w:cs="Times New Roman"/>
          <w:b w:val="0"/>
          <w:spacing w:val="7"/>
          <w:w w:val="105"/>
          <w:sz w:val="22"/>
          <w:szCs w:val="22"/>
        </w:rPr>
        <w:t xml:space="preserve"> </w:t>
      </w:r>
      <w:r w:rsidRPr="006F7C42">
        <w:rPr>
          <w:rFonts w:ascii="Times New Roman" w:hAnsi="Times New Roman" w:cs="Times New Roman"/>
          <w:b w:val="0"/>
          <w:w w:val="105"/>
          <w:sz w:val="22"/>
          <w:szCs w:val="22"/>
        </w:rPr>
        <w:t>articles</w:t>
      </w:r>
      <w:r w:rsidRPr="006F7C42">
        <w:rPr>
          <w:rFonts w:ascii="Times New Roman" w:hAnsi="Times New Roman" w:cs="Times New Roman"/>
          <w:b w:val="0"/>
          <w:spacing w:val="15"/>
          <w:w w:val="105"/>
          <w:sz w:val="22"/>
          <w:szCs w:val="22"/>
        </w:rPr>
        <w:t xml:space="preserve"> </w:t>
      </w:r>
      <w:r w:rsidRPr="006F7C42">
        <w:rPr>
          <w:rFonts w:ascii="Times New Roman" w:hAnsi="Times New Roman" w:cs="Times New Roman"/>
          <w:b w:val="0"/>
          <w:w w:val="105"/>
          <w:sz w:val="22"/>
          <w:szCs w:val="22"/>
        </w:rPr>
        <w:t>R332-2,</w:t>
      </w:r>
      <w:r w:rsidRPr="006F7C42">
        <w:rPr>
          <w:rFonts w:ascii="Times New Roman" w:hAnsi="Times New Roman" w:cs="Times New Roman"/>
          <w:b w:val="0"/>
          <w:spacing w:val="26"/>
          <w:w w:val="105"/>
          <w:sz w:val="22"/>
          <w:szCs w:val="22"/>
        </w:rPr>
        <w:t xml:space="preserve"> </w:t>
      </w:r>
      <w:r w:rsidRPr="006F7C42">
        <w:rPr>
          <w:rFonts w:ascii="Times New Roman" w:hAnsi="Times New Roman" w:cs="Times New Roman"/>
          <w:b w:val="0"/>
          <w:w w:val="105"/>
          <w:sz w:val="22"/>
          <w:szCs w:val="22"/>
        </w:rPr>
        <w:t>R332-3</w:t>
      </w:r>
      <w:r w:rsidRPr="006F7C42">
        <w:rPr>
          <w:rFonts w:ascii="Times New Roman" w:hAnsi="Times New Roman" w:cs="Times New Roman"/>
          <w:b w:val="0"/>
          <w:spacing w:val="28"/>
          <w:w w:val="105"/>
          <w:sz w:val="22"/>
          <w:szCs w:val="22"/>
        </w:rPr>
        <w:t xml:space="preserve"> </w:t>
      </w:r>
      <w:r w:rsidRPr="006F7C42">
        <w:rPr>
          <w:rFonts w:ascii="Times New Roman" w:hAnsi="Times New Roman" w:cs="Times New Roman"/>
          <w:b w:val="0"/>
          <w:w w:val="105"/>
          <w:sz w:val="22"/>
          <w:szCs w:val="22"/>
        </w:rPr>
        <w:t>et</w:t>
      </w:r>
      <w:r w:rsidRPr="006F7C42">
        <w:rPr>
          <w:rFonts w:ascii="Times New Roman" w:hAnsi="Times New Roman" w:cs="Times New Roman"/>
          <w:b w:val="0"/>
          <w:spacing w:val="7"/>
          <w:w w:val="105"/>
          <w:sz w:val="22"/>
          <w:szCs w:val="22"/>
        </w:rPr>
        <w:t xml:space="preserve"> </w:t>
      </w:r>
      <w:r w:rsidRPr="006F7C42">
        <w:rPr>
          <w:rFonts w:ascii="Times New Roman" w:hAnsi="Times New Roman" w:cs="Times New Roman"/>
          <w:b w:val="0"/>
          <w:w w:val="105"/>
          <w:sz w:val="22"/>
          <w:szCs w:val="22"/>
        </w:rPr>
        <w:t>R332-31</w:t>
      </w:r>
      <w:r w:rsidRPr="006F7C42">
        <w:rPr>
          <w:rFonts w:ascii="Times New Roman" w:hAnsi="Times New Roman" w:cs="Times New Roman"/>
          <w:b w:val="0"/>
          <w:spacing w:val="34"/>
          <w:w w:val="105"/>
          <w:sz w:val="22"/>
          <w:szCs w:val="22"/>
        </w:rPr>
        <w:t xml:space="preserve"> </w:t>
      </w:r>
      <w:r w:rsidRPr="006F7C42">
        <w:rPr>
          <w:rFonts w:ascii="Times New Roman" w:hAnsi="Times New Roman" w:cs="Times New Roman"/>
          <w:b w:val="0"/>
          <w:w w:val="105"/>
          <w:sz w:val="22"/>
          <w:szCs w:val="22"/>
        </w:rPr>
        <w:t>du</w:t>
      </w:r>
      <w:r w:rsidRPr="006F7C42">
        <w:rPr>
          <w:rFonts w:ascii="Times New Roman" w:hAnsi="Times New Roman" w:cs="Times New Roman"/>
          <w:b w:val="0"/>
          <w:spacing w:val="20"/>
          <w:w w:val="105"/>
          <w:sz w:val="22"/>
          <w:szCs w:val="22"/>
        </w:rPr>
        <w:t xml:space="preserve"> </w:t>
      </w:r>
      <w:r w:rsidRPr="006F7C42">
        <w:rPr>
          <w:rFonts w:ascii="Times New Roman" w:hAnsi="Times New Roman" w:cs="Times New Roman"/>
          <w:b w:val="0"/>
          <w:w w:val="105"/>
          <w:sz w:val="22"/>
          <w:szCs w:val="22"/>
        </w:rPr>
        <w:t>code</w:t>
      </w:r>
      <w:r w:rsidRPr="006F7C42">
        <w:rPr>
          <w:rFonts w:ascii="Times New Roman" w:hAnsi="Times New Roman" w:cs="Times New Roman"/>
          <w:b w:val="0"/>
          <w:spacing w:val="4"/>
          <w:w w:val="105"/>
          <w:sz w:val="22"/>
          <w:szCs w:val="22"/>
        </w:rPr>
        <w:t xml:space="preserve"> </w:t>
      </w:r>
      <w:r w:rsidRPr="006F7C42">
        <w:rPr>
          <w:rFonts w:ascii="Times New Roman" w:hAnsi="Times New Roman" w:cs="Times New Roman"/>
          <w:b w:val="0"/>
          <w:w w:val="105"/>
          <w:sz w:val="22"/>
          <w:szCs w:val="22"/>
        </w:rPr>
        <w:t>des</w:t>
      </w:r>
      <w:r w:rsidRPr="006F7C42">
        <w:rPr>
          <w:rFonts w:ascii="Times New Roman" w:hAnsi="Times New Roman" w:cs="Times New Roman"/>
          <w:b w:val="0"/>
          <w:spacing w:val="7"/>
          <w:w w:val="105"/>
          <w:sz w:val="22"/>
          <w:szCs w:val="22"/>
        </w:rPr>
        <w:t xml:space="preserve"> </w:t>
      </w:r>
      <w:r w:rsidRPr="006F7C42">
        <w:rPr>
          <w:rFonts w:ascii="Times New Roman" w:hAnsi="Times New Roman" w:cs="Times New Roman"/>
          <w:b w:val="0"/>
          <w:w w:val="105"/>
          <w:sz w:val="22"/>
          <w:szCs w:val="22"/>
        </w:rPr>
        <w:t>assurances</w:t>
      </w:r>
      <w:r>
        <w:rPr>
          <w:rFonts w:ascii="Times New Roman" w:hAnsi="Times New Roman" w:cs="Times New Roman"/>
          <w:b w:val="0"/>
          <w:w w:val="105"/>
          <w:sz w:val="22"/>
          <w:szCs w:val="22"/>
        </w:rPr>
        <w:t xml:space="preserve"> </w:t>
      </w:r>
      <w:r w:rsidRPr="006F7C42">
        <w:rPr>
          <w:rFonts w:ascii="Times New Roman" w:hAnsi="Times New Roman" w:cs="Times New Roman"/>
          <w:b w:val="0"/>
          <w:w w:val="105"/>
          <w:sz w:val="22"/>
          <w:szCs w:val="22"/>
        </w:rPr>
        <w:t>(Arrêté de promulgation n° 9091 AA du 13/11/81, JOPF 30/11/81, p. 1152) ;</w:t>
      </w:r>
    </w:p>
    <w:p w14:paraId="5A6E73CA" w14:textId="77777777" w:rsidR="000819C7" w:rsidRPr="006F7C42" w:rsidRDefault="000819C7" w:rsidP="000819C7">
      <w:pPr>
        <w:pStyle w:val="TableParagraph"/>
        <w:kinsoku w:val="0"/>
        <w:overflowPunct w:val="0"/>
        <w:spacing w:line="224" w:lineRule="exact"/>
        <w:ind w:left="142" w:hanging="142"/>
        <w:jc w:val="both"/>
        <w:rPr>
          <w:color w:val="000000"/>
          <w:sz w:val="22"/>
          <w:szCs w:val="22"/>
        </w:rPr>
      </w:pPr>
      <w:r w:rsidRPr="006F7C42">
        <w:rPr>
          <w:color w:val="000000"/>
          <w:w w:val="105"/>
          <w:sz w:val="22"/>
          <w:szCs w:val="22"/>
        </w:rPr>
        <w:t>- Décret</w:t>
      </w:r>
      <w:r w:rsidRPr="006F7C42">
        <w:rPr>
          <w:color w:val="000000"/>
          <w:spacing w:val="31"/>
          <w:w w:val="105"/>
          <w:sz w:val="22"/>
          <w:szCs w:val="22"/>
        </w:rPr>
        <w:t xml:space="preserve"> </w:t>
      </w:r>
      <w:r w:rsidRPr="006F7C42">
        <w:rPr>
          <w:color w:val="000000"/>
          <w:w w:val="105"/>
          <w:sz w:val="22"/>
          <w:szCs w:val="22"/>
        </w:rPr>
        <w:t>n°</w:t>
      </w:r>
      <w:r w:rsidRPr="006F7C42">
        <w:rPr>
          <w:color w:val="000000"/>
          <w:spacing w:val="27"/>
          <w:w w:val="105"/>
          <w:sz w:val="22"/>
          <w:szCs w:val="22"/>
        </w:rPr>
        <w:t xml:space="preserve"> </w:t>
      </w:r>
      <w:r w:rsidRPr="006F7C42">
        <w:rPr>
          <w:color w:val="000000"/>
          <w:w w:val="105"/>
          <w:sz w:val="22"/>
          <w:szCs w:val="22"/>
        </w:rPr>
        <w:t>82-617</w:t>
      </w:r>
      <w:r w:rsidRPr="006F7C42">
        <w:rPr>
          <w:color w:val="000000"/>
          <w:spacing w:val="15"/>
          <w:w w:val="105"/>
          <w:sz w:val="22"/>
          <w:szCs w:val="22"/>
        </w:rPr>
        <w:t xml:space="preserve"> </w:t>
      </w:r>
      <w:r w:rsidRPr="006F7C42">
        <w:rPr>
          <w:color w:val="000000"/>
          <w:w w:val="105"/>
          <w:sz w:val="22"/>
          <w:szCs w:val="22"/>
        </w:rPr>
        <w:t>du</w:t>
      </w:r>
      <w:r w:rsidRPr="006F7C42">
        <w:rPr>
          <w:color w:val="000000"/>
          <w:spacing w:val="41"/>
          <w:w w:val="105"/>
          <w:sz w:val="22"/>
          <w:szCs w:val="22"/>
        </w:rPr>
        <w:t xml:space="preserve"> </w:t>
      </w:r>
      <w:r w:rsidRPr="006F7C42">
        <w:rPr>
          <w:color w:val="000000"/>
          <w:w w:val="105"/>
          <w:sz w:val="22"/>
          <w:szCs w:val="22"/>
        </w:rPr>
        <w:t>16/07/82</w:t>
      </w:r>
      <w:r w:rsidRPr="006F7C42">
        <w:rPr>
          <w:color w:val="000000"/>
          <w:spacing w:val="6"/>
          <w:w w:val="105"/>
          <w:sz w:val="22"/>
          <w:szCs w:val="22"/>
        </w:rPr>
        <w:t xml:space="preserve"> </w:t>
      </w:r>
      <w:r w:rsidRPr="006F7C42">
        <w:rPr>
          <w:color w:val="000000"/>
          <w:w w:val="105"/>
          <w:sz w:val="22"/>
          <w:szCs w:val="22"/>
        </w:rPr>
        <w:t>relatif</w:t>
      </w:r>
      <w:r w:rsidRPr="006F7C42">
        <w:rPr>
          <w:color w:val="000000"/>
          <w:spacing w:val="27"/>
          <w:w w:val="105"/>
          <w:sz w:val="22"/>
          <w:szCs w:val="22"/>
        </w:rPr>
        <w:t xml:space="preserve"> </w:t>
      </w:r>
      <w:r w:rsidRPr="006F7C42">
        <w:rPr>
          <w:color w:val="000000"/>
          <w:w w:val="105"/>
          <w:sz w:val="22"/>
          <w:szCs w:val="22"/>
        </w:rPr>
        <w:t>à</w:t>
      </w:r>
      <w:r w:rsidRPr="006F7C42">
        <w:rPr>
          <w:color w:val="000000"/>
          <w:spacing w:val="10"/>
          <w:w w:val="105"/>
          <w:sz w:val="22"/>
          <w:szCs w:val="22"/>
        </w:rPr>
        <w:t xml:space="preserve"> </w:t>
      </w:r>
      <w:r w:rsidRPr="006F7C42">
        <w:rPr>
          <w:color w:val="000000"/>
          <w:w w:val="105"/>
          <w:sz w:val="22"/>
          <w:szCs w:val="22"/>
        </w:rPr>
        <w:t>la</w:t>
      </w:r>
      <w:r w:rsidRPr="006F7C42">
        <w:rPr>
          <w:color w:val="000000"/>
          <w:spacing w:val="10"/>
          <w:w w:val="105"/>
          <w:sz w:val="22"/>
          <w:szCs w:val="22"/>
        </w:rPr>
        <w:t xml:space="preserve"> </w:t>
      </w:r>
      <w:r w:rsidRPr="006F7C42">
        <w:rPr>
          <w:color w:val="000000"/>
          <w:w w:val="105"/>
          <w:sz w:val="22"/>
          <w:szCs w:val="22"/>
        </w:rPr>
        <w:t>participation</w:t>
      </w:r>
      <w:r w:rsidRPr="006F7C42">
        <w:rPr>
          <w:color w:val="000000"/>
          <w:spacing w:val="38"/>
          <w:w w:val="105"/>
          <w:sz w:val="22"/>
          <w:szCs w:val="22"/>
        </w:rPr>
        <w:t xml:space="preserve"> </w:t>
      </w:r>
      <w:r w:rsidRPr="006F7C42">
        <w:rPr>
          <w:color w:val="000000"/>
          <w:w w:val="105"/>
          <w:sz w:val="22"/>
          <w:szCs w:val="22"/>
        </w:rPr>
        <w:t>des</w:t>
      </w:r>
      <w:r w:rsidRPr="006F7C42">
        <w:rPr>
          <w:color w:val="000000"/>
          <w:spacing w:val="15"/>
          <w:w w:val="105"/>
          <w:sz w:val="22"/>
          <w:szCs w:val="22"/>
        </w:rPr>
        <w:t xml:space="preserve"> </w:t>
      </w:r>
      <w:r w:rsidRPr="006F7C42">
        <w:rPr>
          <w:color w:val="000000"/>
          <w:w w:val="105"/>
          <w:sz w:val="22"/>
          <w:szCs w:val="22"/>
        </w:rPr>
        <w:t>porteurs</w:t>
      </w:r>
      <w:r w:rsidRPr="006F7C42">
        <w:rPr>
          <w:color w:val="000000"/>
          <w:spacing w:val="28"/>
          <w:w w:val="105"/>
          <w:sz w:val="22"/>
          <w:szCs w:val="22"/>
        </w:rPr>
        <w:t xml:space="preserve"> </w:t>
      </w:r>
      <w:r w:rsidRPr="006F7C42">
        <w:rPr>
          <w:color w:val="000000"/>
          <w:w w:val="105"/>
          <w:sz w:val="22"/>
          <w:szCs w:val="22"/>
        </w:rPr>
        <w:t>de</w:t>
      </w:r>
      <w:r w:rsidRPr="006F7C42">
        <w:rPr>
          <w:color w:val="000000"/>
          <w:spacing w:val="2"/>
          <w:w w:val="105"/>
          <w:sz w:val="22"/>
          <w:szCs w:val="22"/>
        </w:rPr>
        <w:t xml:space="preserve"> </w:t>
      </w:r>
      <w:r w:rsidRPr="006F7C42">
        <w:rPr>
          <w:color w:val="000000"/>
          <w:w w:val="105"/>
          <w:sz w:val="22"/>
          <w:szCs w:val="22"/>
        </w:rPr>
        <w:t>titres</w:t>
      </w:r>
      <w:r w:rsidRPr="006F7C42">
        <w:rPr>
          <w:color w:val="000000"/>
          <w:spacing w:val="17"/>
          <w:w w:val="105"/>
          <w:sz w:val="22"/>
          <w:szCs w:val="22"/>
        </w:rPr>
        <w:t xml:space="preserve"> </w:t>
      </w:r>
      <w:r w:rsidRPr="006F7C42">
        <w:rPr>
          <w:color w:val="000000"/>
          <w:w w:val="105"/>
          <w:sz w:val="22"/>
          <w:szCs w:val="22"/>
        </w:rPr>
        <w:t>de</w:t>
      </w:r>
      <w:r w:rsidRPr="006F7C42">
        <w:rPr>
          <w:color w:val="000000"/>
          <w:spacing w:val="2"/>
          <w:w w:val="105"/>
          <w:sz w:val="22"/>
          <w:szCs w:val="22"/>
        </w:rPr>
        <w:t xml:space="preserve"> </w:t>
      </w:r>
      <w:r w:rsidRPr="006F7C42">
        <w:rPr>
          <w:color w:val="000000"/>
          <w:w w:val="105"/>
          <w:sz w:val="22"/>
          <w:szCs w:val="22"/>
        </w:rPr>
        <w:t>capitalisation</w:t>
      </w:r>
      <w:r w:rsidRPr="006F7C42">
        <w:rPr>
          <w:color w:val="000000"/>
          <w:spacing w:val="39"/>
          <w:w w:val="105"/>
          <w:sz w:val="22"/>
          <w:szCs w:val="22"/>
        </w:rPr>
        <w:t xml:space="preserve"> </w:t>
      </w:r>
      <w:r w:rsidRPr="006F7C42">
        <w:rPr>
          <w:color w:val="000000"/>
          <w:w w:val="105"/>
          <w:sz w:val="22"/>
          <w:szCs w:val="22"/>
        </w:rPr>
        <w:t>aux</w:t>
      </w:r>
      <w:r w:rsidRPr="006F7C42">
        <w:rPr>
          <w:color w:val="000000"/>
          <w:spacing w:val="13"/>
          <w:w w:val="105"/>
          <w:sz w:val="22"/>
          <w:szCs w:val="22"/>
        </w:rPr>
        <w:t xml:space="preserve"> </w:t>
      </w:r>
      <w:r w:rsidRPr="006F7C42">
        <w:rPr>
          <w:color w:val="000000"/>
          <w:w w:val="105"/>
          <w:sz w:val="22"/>
          <w:szCs w:val="22"/>
        </w:rPr>
        <w:t>bénéfices</w:t>
      </w:r>
      <w:r w:rsidRPr="006F7C42">
        <w:rPr>
          <w:color w:val="000000"/>
          <w:spacing w:val="30"/>
          <w:w w:val="105"/>
          <w:sz w:val="22"/>
          <w:szCs w:val="22"/>
        </w:rPr>
        <w:t xml:space="preserve"> </w:t>
      </w:r>
      <w:r w:rsidRPr="006F7C42">
        <w:rPr>
          <w:color w:val="000000"/>
          <w:w w:val="105"/>
          <w:sz w:val="22"/>
          <w:szCs w:val="22"/>
        </w:rPr>
        <w:t>des entreprises</w:t>
      </w:r>
      <w:r w:rsidRPr="006F7C42">
        <w:rPr>
          <w:color w:val="000000"/>
          <w:spacing w:val="43"/>
          <w:w w:val="105"/>
          <w:sz w:val="22"/>
          <w:szCs w:val="22"/>
        </w:rPr>
        <w:t xml:space="preserve"> </w:t>
      </w:r>
      <w:r w:rsidRPr="006F7C42">
        <w:rPr>
          <w:color w:val="000000"/>
          <w:w w:val="105"/>
          <w:sz w:val="22"/>
          <w:szCs w:val="22"/>
        </w:rPr>
        <w:t>pratiquant</w:t>
      </w:r>
      <w:r w:rsidRPr="006F7C42">
        <w:rPr>
          <w:color w:val="000000"/>
          <w:spacing w:val="41"/>
          <w:w w:val="105"/>
          <w:sz w:val="22"/>
          <w:szCs w:val="22"/>
        </w:rPr>
        <w:t xml:space="preserve"> </w:t>
      </w:r>
      <w:r w:rsidRPr="006F7C42">
        <w:rPr>
          <w:color w:val="000000"/>
          <w:w w:val="105"/>
          <w:sz w:val="22"/>
          <w:szCs w:val="22"/>
        </w:rPr>
        <w:t>des</w:t>
      </w:r>
      <w:r w:rsidRPr="006F7C42">
        <w:rPr>
          <w:color w:val="000000"/>
          <w:spacing w:val="21"/>
          <w:w w:val="105"/>
          <w:sz w:val="22"/>
          <w:szCs w:val="22"/>
        </w:rPr>
        <w:t xml:space="preserve"> </w:t>
      </w:r>
      <w:r w:rsidRPr="006F7C42">
        <w:rPr>
          <w:color w:val="000000"/>
          <w:w w:val="105"/>
          <w:sz w:val="22"/>
          <w:szCs w:val="22"/>
        </w:rPr>
        <w:t>opérations</w:t>
      </w:r>
      <w:r w:rsidRPr="006F7C42">
        <w:rPr>
          <w:color w:val="000000"/>
          <w:spacing w:val="30"/>
          <w:w w:val="105"/>
          <w:sz w:val="22"/>
          <w:szCs w:val="22"/>
        </w:rPr>
        <w:t xml:space="preserve"> </w:t>
      </w:r>
      <w:r w:rsidRPr="006F7C42">
        <w:rPr>
          <w:color w:val="000000"/>
          <w:w w:val="105"/>
          <w:sz w:val="22"/>
          <w:szCs w:val="22"/>
        </w:rPr>
        <w:t>de</w:t>
      </w:r>
      <w:r w:rsidRPr="006F7C42">
        <w:rPr>
          <w:color w:val="000000"/>
          <w:spacing w:val="19"/>
          <w:w w:val="105"/>
          <w:sz w:val="22"/>
          <w:szCs w:val="22"/>
        </w:rPr>
        <w:t xml:space="preserve"> </w:t>
      </w:r>
      <w:r w:rsidRPr="006F7C42">
        <w:rPr>
          <w:color w:val="000000"/>
          <w:w w:val="105"/>
          <w:sz w:val="22"/>
          <w:szCs w:val="22"/>
        </w:rPr>
        <w:t xml:space="preserve">capitalisation </w:t>
      </w:r>
      <w:r w:rsidRPr="006F7C42">
        <w:rPr>
          <w:color w:val="000000"/>
          <w:sz w:val="22"/>
          <w:szCs w:val="22"/>
        </w:rPr>
        <w:t>(Arrêté de promulgation n° 6134 AA du 10/11/82, JOPF 30/11/82, p. 1208)</w:t>
      </w:r>
      <w:r w:rsidRPr="006F7C42">
        <w:rPr>
          <w:color w:val="000000"/>
        </w:rPr>
        <w:t> ;</w:t>
      </w:r>
    </w:p>
    <w:p w14:paraId="5A5CF0B6" w14:textId="77777777" w:rsidR="000819C7" w:rsidRPr="006F7C42" w:rsidRDefault="000819C7" w:rsidP="000819C7">
      <w:pPr>
        <w:pStyle w:val="TableParagraph"/>
        <w:kinsoku w:val="0"/>
        <w:overflowPunct w:val="0"/>
        <w:spacing w:line="228" w:lineRule="exact"/>
        <w:ind w:left="142" w:hanging="142"/>
        <w:jc w:val="both"/>
        <w:rPr>
          <w:color w:val="000000"/>
          <w:sz w:val="22"/>
          <w:szCs w:val="22"/>
        </w:rPr>
      </w:pPr>
      <w:r w:rsidRPr="006F7C42">
        <w:rPr>
          <w:color w:val="000000"/>
          <w:w w:val="105"/>
          <w:sz w:val="22"/>
          <w:szCs w:val="22"/>
        </w:rPr>
        <w:t>- Décret</w:t>
      </w:r>
      <w:r w:rsidRPr="006F7C42">
        <w:rPr>
          <w:color w:val="000000"/>
          <w:spacing w:val="30"/>
          <w:w w:val="105"/>
          <w:sz w:val="22"/>
          <w:szCs w:val="22"/>
        </w:rPr>
        <w:t xml:space="preserve"> </w:t>
      </w:r>
      <w:r w:rsidRPr="006F7C42">
        <w:rPr>
          <w:color w:val="000000"/>
          <w:w w:val="105"/>
          <w:sz w:val="22"/>
          <w:szCs w:val="22"/>
        </w:rPr>
        <w:t>n°</w:t>
      </w:r>
      <w:r w:rsidRPr="006F7C42">
        <w:rPr>
          <w:color w:val="000000"/>
          <w:spacing w:val="30"/>
          <w:w w:val="105"/>
          <w:sz w:val="22"/>
          <w:szCs w:val="22"/>
        </w:rPr>
        <w:t xml:space="preserve"> </w:t>
      </w:r>
      <w:r w:rsidRPr="006F7C42">
        <w:rPr>
          <w:color w:val="000000"/>
          <w:w w:val="105"/>
          <w:sz w:val="22"/>
          <w:szCs w:val="22"/>
        </w:rPr>
        <w:t>84-349</w:t>
      </w:r>
      <w:r w:rsidRPr="006F7C42">
        <w:rPr>
          <w:color w:val="000000"/>
          <w:spacing w:val="24"/>
          <w:w w:val="105"/>
          <w:sz w:val="22"/>
          <w:szCs w:val="22"/>
        </w:rPr>
        <w:t xml:space="preserve"> </w:t>
      </w:r>
      <w:r w:rsidRPr="006F7C42">
        <w:rPr>
          <w:color w:val="000000"/>
          <w:w w:val="105"/>
          <w:sz w:val="22"/>
          <w:szCs w:val="22"/>
        </w:rPr>
        <w:t>du</w:t>
      </w:r>
      <w:r w:rsidRPr="006F7C42">
        <w:rPr>
          <w:color w:val="000000"/>
          <w:spacing w:val="26"/>
          <w:w w:val="105"/>
          <w:sz w:val="22"/>
          <w:szCs w:val="22"/>
        </w:rPr>
        <w:t xml:space="preserve"> </w:t>
      </w:r>
      <w:r w:rsidRPr="006F7C42">
        <w:rPr>
          <w:color w:val="000000"/>
          <w:w w:val="105"/>
          <w:sz w:val="22"/>
          <w:szCs w:val="22"/>
        </w:rPr>
        <w:t>9/05/84</w:t>
      </w:r>
      <w:r w:rsidRPr="006F7C42">
        <w:rPr>
          <w:color w:val="000000"/>
          <w:spacing w:val="25"/>
          <w:w w:val="105"/>
          <w:sz w:val="22"/>
          <w:szCs w:val="22"/>
        </w:rPr>
        <w:t xml:space="preserve"> </w:t>
      </w:r>
      <w:r w:rsidRPr="006F7C42">
        <w:rPr>
          <w:color w:val="000000"/>
          <w:w w:val="105"/>
          <w:sz w:val="22"/>
          <w:szCs w:val="22"/>
        </w:rPr>
        <w:t>adaptant</w:t>
      </w:r>
      <w:r w:rsidRPr="006F7C42">
        <w:rPr>
          <w:color w:val="000000"/>
          <w:spacing w:val="30"/>
          <w:w w:val="105"/>
          <w:sz w:val="22"/>
          <w:szCs w:val="22"/>
        </w:rPr>
        <w:t xml:space="preserve"> </w:t>
      </w:r>
      <w:r w:rsidRPr="006F7C42">
        <w:rPr>
          <w:color w:val="000000"/>
          <w:w w:val="105"/>
          <w:sz w:val="22"/>
          <w:szCs w:val="22"/>
        </w:rPr>
        <w:t>le</w:t>
      </w:r>
      <w:r w:rsidRPr="006F7C42">
        <w:rPr>
          <w:color w:val="000000"/>
          <w:spacing w:val="17"/>
          <w:w w:val="105"/>
          <w:sz w:val="22"/>
          <w:szCs w:val="22"/>
        </w:rPr>
        <w:t xml:space="preserve"> </w:t>
      </w:r>
      <w:r w:rsidRPr="006F7C42">
        <w:rPr>
          <w:color w:val="000000"/>
          <w:w w:val="105"/>
          <w:sz w:val="22"/>
          <w:szCs w:val="22"/>
        </w:rPr>
        <w:t>code</w:t>
      </w:r>
      <w:r w:rsidRPr="006F7C42">
        <w:rPr>
          <w:color w:val="000000"/>
          <w:spacing w:val="18"/>
          <w:w w:val="105"/>
          <w:sz w:val="22"/>
          <w:szCs w:val="22"/>
        </w:rPr>
        <w:t xml:space="preserve"> </w:t>
      </w:r>
      <w:r w:rsidRPr="006F7C42">
        <w:rPr>
          <w:color w:val="000000"/>
          <w:w w:val="105"/>
          <w:sz w:val="22"/>
          <w:szCs w:val="22"/>
        </w:rPr>
        <w:t>des</w:t>
      </w:r>
      <w:r w:rsidRPr="006F7C42">
        <w:rPr>
          <w:color w:val="000000"/>
          <w:spacing w:val="11"/>
          <w:w w:val="105"/>
          <w:sz w:val="22"/>
          <w:szCs w:val="22"/>
        </w:rPr>
        <w:t xml:space="preserve"> </w:t>
      </w:r>
      <w:r w:rsidRPr="006F7C42">
        <w:rPr>
          <w:color w:val="000000"/>
          <w:w w:val="105"/>
          <w:sz w:val="22"/>
          <w:szCs w:val="22"/>
        </w:rPr>
        <w:t>assurances</w:t>
      </w:r>
      <w:r w:rsidRPr="006F7C42">
        <w:rPr>
          <w:color w:val="000000"/>
          <w:spacing w:val="24"/>
          <w:w w:val="105"/>
          <w:sz w:val="22"/>
          <w:szCs w:val="22"/>
        </w:rPr>
        <w:t xml:space="preserve"> </w:t>
      </w:r>
      <w:r w:rsidRPr="006F7C42">
        <w:rPr>
          <w:color w:val="000000"/>
          <w:w w:val="105"/>
          <w:sz w:val="22"/>
          <w:szCs w:val="22"/>
        </w:rPr>
        <w:t>(partie</w:t>
      </w:r>
      <w:r w:rsidRPr="006F7C42">
        <w:rPr>
          <w:color w:val="000000"/>
          <w:spacing w:val="5"/>
          <w:w w:val="105"/>
          <w:sz w:val="22"/>
          <w:szCs w:val="22"/>
        </w:rPr>
        <w:t xml:space="preserve"> </w:t>
      </w:r>
      <w:r w:rsidRPr="006F7C42">
        <w:rPr>
          <w:color w:val="000000"/>
          <w:w w:val="105"/>
          <w:sz w:val="22"/>
          <w:szCs w:val="22"/>
        </w:rPr>
        <w:t>réglementaire)</w:t>
      </w:r>
      <w:r w:rsidRPr="006F7C42">
        <w:rPr>
          <w:color w:val="000000"/>
          <w:spacing w:val="33"/>
          <w:w w:val="105"/>
          <w:sz w:val="22"/>
          <w:szCs w:val="22"/>
        </w:rPr>
        <w:t xml:space="preserve"> </w:t>
      </w:r>
      <w:r w:rsidRPr="006F7C42">
        <w:rPr>
          <w:color w:val="000000"/>
          <w:w w:val="105"/>
          <w:sz w:val="22"/>
          <w:szCs w:val="22"/>
        </w:rPr>
        <w:t>à</w:t>
      </w:r>
      <w:r w:rsidRPr="006F7C42">
        <w:rPr>
          <w:color w:val="000000"/>
          <w:spacing w:val="13"/>
          <w:w w:val="105"/>
          <w:sz w:val="22"/>
          <w:szCs w:val="22"/>
        </w:rPr>
        <w:t xml:space="preserve"> </w:t>
      </w:r>
      <w:r w:rsidRPr="006F7C42">
        <w:rPr>
          <w:color w:val="000000"/>
          <w:w w:val="105"/>
          <w:sz w:val="22"/>
          <w:szCs w:val="22"/>
        </w:rPr>
        <w:t>la</w:t>
      </w:r>
      <w:r w:rsidRPr="006F7C42">
        <w:rPr>
          <w:color w:val="000000"/>
          <w:spacing w:val="7"/>
          <w:w w:val="105"/>
          <w:sz w:val="22"/>
          <w:szCs w:val="22"/>
        </w:rPr>
        <w:t xml:space="preserve"> </w:t>
      </w:r>
      <w:r w:rsidRPr="006F7C42">
        <w:rPr>
          <w:color w:val="000000"/>
          <w:w w:val="105"/>
          <w:sz w:val="22"/>
          <w:szCs w:val="22"/>
        </w:rPr>
        <w:t>directive</w:t>
      </w:r>
      <w:r w:rsidRPr="006F7C42">
        <w:rPr>
          <w:color w:val="000000"/>
          <w:spacing w:val="16"/>
          <w:w w:val="105"/>
          <w:sz w:val="22"/>
          <w:szCs w:val="22"/>
        </w:rPr>
        <w:t xml:space="preserve"> </w:t>
      </w:r>
      <w:r w:rsidRPr="006F7C42">
        <w:rPr>
          <w:color w:val="000000"/>
          <w:w w:val="105"/>
          <w:sz w:val="22"/>
          <w:szCs w:val="22"/>
        </w:rPr>
        <w:t>n°</w:t>
      </w:r>
      <w:r w:rsidRPr="006F7C42">
        <w:rPr>
          <w:color w:val="000000"/>
          <w:spacing w:val="18"/>
          <w:w w:val="105"/>
          <w:sz w:val="22"/>
          <w:szCs w:val="22"/>
        </w:rPr>
        <w:t xml:space="preserve"> </w:t>
      </w:r>
      <w:r w:rsidRPr="006F7C42">
        <w:rPr>
          <w:color w:val="000000"/>
          <w:w w:val="105"/>
          <w:sz w:val="22"/>
          <w:szCs w:val="22"/>
        </w:rPr>
        <w:t>79-267</w:t>
      </w:r>
      <w:r w:rsidRPr="006F7C42">
        <w:rPr>
          <w:color w:val="000000"/>
          <w:spacing w:val="29"/>
          <w:w w:val="105"/>
          <w:sz w:val="22"/>
          <w:szCs w:val="22"/>
        </w:rPr>
        <w:t xml:space="preserve"> </w:t>
      </w:r>
      <w:r w:rsidRPr="006F7C42">
        <w:rPr>
          <w:color w:val="000000"/>
          <w:w w:val="105"/>
          <w:sz w:val="22"/>
          <w:szCs w:val="22"/>
        </w:rPr>
        <w:t xml:space="preserve">du </w:t>
      </w:r>
      <w:r w:rsidRPr="006F7C42">
        <w:rPr>
          <w:color w:val="000000"/>
          <w:w w:val="110"/>
          <w:sz w:val="22"/>
          <w:szCs w:val="22"/>
        </w:rPr>
        <w:t>conseil</w:t>
      </w:r>
      <w:r w:rsidRPr="006F7C42">
        <w:rPr>
          <w:color w:val="000000"/>
          <w:spacing w:val="1"/>
          <w:w w:val="110"/>
          <w:sz w:val="22"/>
          <w:szCs w:val="22"/>
        </w:rPr>
        <w:t xml:space="preserve"> </w:t>
      </w:r>
      <w:r w:rsidRPr="006F7C42">
        <w:rPr>
          <w:color w:val="000000"/>
          <w:w w:val="110"/>
          <w:sz w:val="22"/>
          <w:szCs w:val="22"/>
        </w:rPr>
        <w:t>des</w:t>
      </w:r>
      <w:r w:rsidRPr="006F7C42">
        <w:rPr>
          <w:color w:val="000000"/>
          <w:spacing w:val="-6"/>
          <w:w w:val="110"/>
          <w:sz w:val="22"/>
          <w:szCs w:val="22"/>
        </w:rPr>
        <w:t xml:space="preserve"> </w:t>
      </w:r>
      <w:r w:rsidRPr="006F7C42">
        <w:rPr>
          <w:color w:val="000000"/>
          <w:w w:val="110"/>
          <w:sz w:val="22"/>
          <w:szCs w:val="22"/>
        </w:rPr>
        <w:t>communautés</w:t>
      </w:r>
      <w:r w:rsidRPr="006F7C42">
        <w:rPr>
          <w:color w:val="000000"/>
          <w:spacing w:val="5"/>
          <w:w w:val="110"/>
          <w:sz w:val="22"/>
          <w:szCs w:val="22"/>
        </w:rPr>
        <w:t xml:space="preserve"> </w:t>
      </w:r>
      <w:r w:rsidRPr="006F7C42">
        <w:rPr>
          <w:color w:val="000000"/>
          <w:w w:val="110"/>
          <w:sz w:val="22"/>
          <w:szCs w:val="22"/>
        </w:rPr>
        <w:t>européennes</w:t>
      </w:r>
      <w:r w:rsidRPr="006F7C42">
        <w:rPr>
          <w:color w:val="000000"/>
          <w:spacing w:val="-3"/>
          <w:w w:val="110"/>
          <w:sz w:val="22"/>
          <w:szCs w:val="22"/>
        </w:rPr>
        <w:t xml:space="preserve"> </w:t>
      </w:r>
      <w:r w:rsidRPr="006F7C42">
        <w:rPr>
          <w:color w:val="000000"/>
          <w:w w:val="110"/>
          <w:sz w:val="22"/>
          <w:szCs w:val="22"/>
        </w:rPr>
        <w:t>et</w:t>
      </w:r>
      <w:r w:rsidRPr="006F7C42">
        <w:rPr>
          <w:color w:val="000000"/>
          <w:spacing w:val="-11"/>
          <w:w w:val="110"/>
          <w:sz w:val="22"/>
          <w:szCs w:val="22"/>
        </w:rPr>
        <w:t xml:space="preserve"> </w:t>
      </w:r>
      <w:r w:rsidRPr="006F7C42">
        <w:rPr>
          <w:color w:val="000000"/>
          <w:w w:val="110"/>
          <w:sz w:val="22"/>
          <w:szCs w:val="22"/>
        </w:rPr>
        <w:t>relatif</w:t>
      </w:r>
      <w:r w:rsidRPr="006F7C42">
        <w:rPr>
          <w:color w:val="000000"/>
          <w:spacing w:val="3"/>
          <w:w w:val="110"/>
          <w:sz w:val="22"/>
          <w:szCs w:val="22"/>
        </w:rPr>
        <w:t xml:space="preserve"> </w:t>
      </w:r>
      <w:r w:rsidRPr="006F7C42">
        <w:rPr>
          <w:color w:val="000000"/>
          <w:w w:val="110"/>
          <w:sz w:val="22"/>
          <w:szCs w:val="22"/>
        </w:rPr>
        <w:t>au</w:t>
      </w:r>
      <w:r w:rsidRPr="006F7C42">
        <w:rPr>
          <w:color w:val="000000"/>
          <w:spacing w:val="-7"/>
          <w:w w:val="110"/>
          <w:sz w:val="22"/>
          <w:szCs w:val="22"/>
        </w:rPr>
        <w:t xml:space="preserve"> </w:t>
      </w:r>
      <w:r w:rsidRPr="006F7C42">
        <w:rPr>
          <w:color w:val="000000"/>
          <w:w w:val="110"/>
          <w:sz w:val="22"/>
          <w:szCs w:val="22"/>
        </w:rPr>
        <w:t>contrôle</w:t>
      </w:r>
      <w:r w:rsidRPr="006F7C42">
        <w:rPr>
          <w:color w:val="000000"/>
          <w:spacing w:val="-2"/>
          <w:w w:val="110"/>
          <w:sz w:val="22"/>
          <w:szCs w:val="22"/>
        </w:rPr>
        <w:t xml:space="preserve"> </w:t>
      </w:r>
      <w:r w:rsidRPr="006F7C42">
        <w:rPr>
          <w:color w:val="000000"/>
          <w:w w:val="110"/>
          <w:sz w:val="22"/>
          <w:szCs w:val="22"/>
        </w:rPr>
        <w:t>des</w:t>
      </w:r>
      <w:r w:rsidRPr="006F7C42">
        <w:rPr>
          <w:color w:val="000000"/>
          <w:spacing w:val="-11"/>
          <w:w w:val="110"/>
          <w:sz w:val="22"/>
          <w:szCs w:val="22"/>
        </w:rPr>
        <w:t xml:space="preserve"> </w:t>
      </w:r>
      <w:r w:rsidRPr="006F7C42">
        <w:rPr>
          <w:color w:val="000000"/>
          <w:w w:val="110"/>
          <w:sz w:val="22"/>
          <w:szCs w:val="22"/>
        </w:rPr>
        <w:t>entreprises</w:t>
      </w:r>
      <w:r w:rsidRPr="006F7C42">
        <w:rPr>
          <w:color w:val="000000"/>
          <w:spacing w:val="1"/>
          <w:w w:val="110"/>
          <w:sz w:val="22"/>
          <w:szCs w:val="22"/>
        </w:rPr>
        <w:t xml:space="preserve"> </w:t>
      </w:r>
      <w:r w:rsidRPr="006F7C42">
        <w:rPr>
          <w:color w:val="000000"/>
          <w:w w:val="110"/>
          <w:sz w:val="22"/>
          <w:szCs w:val="22"/>
        </w:rPr>
        <w:t xml:space="preserve">d'assurance </w:t>
      </w:r>
      <w:r w:rsidRPr="006F7C42">
        <w:rPr>
          <w:color w:val="000000"/>
          <w:sz w:val="22"/>
          <w:szCs w:val="22"/>
        </w:rPr>
        <w:t>(Arrêté de promulgation n° 465 NS/MRCL du 21/12/84, JOPF 20/01/85, p. 36)</w:t>
      </w:r>
      <w:r w:rsidRPr="006F7C42">
        <w:rPr>
          <w:color w:val="000000"/>
          <w:w w:val="110"/>
          <w:sz w:val="22"/>
          <w:szCs w:val="22"/>
        </w:rPr>
        <w:t> ;</w:t>
      </w:r>
    </w:p>
    <w:p w14:paraId="3A8B5846" w14:textId="77777777" w:rsidR="000819C7" w:rsidRPr="006F7C42" w:rsidRDefault="000819C7" w:rsidP="000819C7">
      <w:pPr>
        <w:pStyle w:val="TableParagraph"/>
        <w:kinsoku w:val="0"/>
        <w:overflowPunct w:val="0"/>
        <w:spacing w:line="226" w:lineRule="exact"/>
        <w:ind w:left="142" w:hanging="142"/>
        <w:jc w:val="both"/>
        <w:rPr>
          <w:color w:val="000000"/>
          <w:sz w:val="22"/>
          <w:szCs w:val="22"/>
        </w:rPr>
      </w:pPr>
      <w:r w:rsidRPr="006F7C42">
        <w:rPr>
          <w:color w:val="000000"/>
          <w:w w:val="110"/>
          <w:sz w:val="22"/>
          <w:szCs w:val="22"/>
        </w:rPr>
        <w:t xml:space="preserve">- </w:t>
      </w:r>
      <w:r w:rsidRPr="006F7C42">
        <w:rPr>
          <w:color w:val="000000"/>
          <w:w w:val="105"/>
          <w:sz w:val="22"/>
          <w:szCs w:val="22"/>
        </w:rPr>
        <w:t>Décret</w:t>
      </w:r>
      <w:r w:rsidRPr="006F7C42">
        <w:rPr>
          <w:color w:val="000000"/>
          <w:spacing w:val="23"/>
          <w:w w:val="105"/>
          <w:sz w:val="22"/>
          <w:szCs w:val="22"/>
        </w:rPr>
        <w:t xml:space="preserve"> </w:t>
      </w:r>
      <w:r w:rsidRPr="006F7C42">
        <w:rPr>
          <w:color w:val="000000"/>
          <w:w w:val="105"/>
          <w:sz w:val="22"/>
          <w:szCs w:val="22"/>
        </w:rPr>
        <w:t>n°</w:t>
      </w:r>
      <w:r w:rsidRPr="006F7C42">
        <w:rPr>
          <w:color w:val="000000"/>
          <w:spacing w:val="24"/>
          <w:w w:val="105"/>
          <w:sz w:val="22"/>
          <w:szCs w:val="22"/>
        </w:rPr>
        <w:t xml:space="preserve"> </w:t>
      </w:r>
      <w:r w:rsidRPr="006F7C42">
        <w:rPr>
          <w:color w:val="000000"/>
          <w:w w:val="105"/>
          <w:sz w:val="22"/>
          <w:szCs w:val="22"/>
        </w:rPr>
        <w:t>84-1023</w:t>
      </w:r>
      <w:r w:rsidRPr="006F7C42">
        <w:rPr>
          <w:color w:val="000000"/>
          <w:spacing w:val="8"/>
          <w:w w:val="105"/>
          <w:sz w:val="22"/>
          <w:szCs w:val="22"/>
        </w:rPr>
        <w:t xml:space="preserve"> </w:t>
      </w:r>
      <w:r w:rsidRPr="006F7C42">
        <w:rPr>
          <w:color w:val="000000"/>
          <w:w w:val="105"/>
          <w:sz w:val="22"/>
          <w:szCs w:val="22"/>
        </w:rPr>
        <w:t>du</w:t>
      </w:r>
      <w:r w:rsidRPr="006F7C42">
        <w:rPr>
          <w:color w:val="000000"/>
          <w:spacing w:val="45"/>
          <w:w w:val="105"/>
          <w:sz w:val="22"/>
          <w:szCs w:val="22"/>
        </w:rPr>
        <w:t xml:space="preserve"> </w:t>
      </w:r>
      <w:r w:rsidRPr="006F7C42">
        <w:rPr>
          <w:color w:val="000000"/>
          <w:w w:val="105"/>
          <w:sz w:val="22"/>
          <w:szCs w:val="22"/>
        </w:rPr>
        <w:t>14/11/84</w:t>
      </w:r>
      <w:r w:rsidRPr="006F7C42">
        <w:rPr>
          <w:color w:val="000000"/>
          <w:spacing w:val="10"/>
          <w:w w:val="105"/>
          <w:sz w:val="22"/>
          <w:szCs w:val="22"/>
        </w:rPr>
        <w:t xml:space="preserve"> </w:t>
      </w:r>
      <w:r w:rsidRPr="006F7C42">
        <w:rPr>
          <w:color w:val="000000"/>
          <w:w w:val="105"/>
          <w:sz w:val="22"/>
          <w:szCs w:val="22"/>
        </w:rPr>
        <w:t>portant</w:t>
      </w:r>
      <w:r w:rsidRPr="006F7C42">
        <w:rPr>
          <w:color w:val="000000"/>
          <w:spacing w:val="24"/>
          <w:w w:val="105"/>
          <w:sz w:val="22"/>
          <w:szCs w:val="22"/>
        </w:rPr>
        <w:t xml:space="preserve"> </w:t>
      </w:r>
      <w:r w:rsidRPr="006F7C42">
        <w:rPr>
          <w:color w:val="000000"/>
          <w:w w:val="105"/>
          <w:sz w:val="22"/>
          <w:szCs w:val="22"/>
        </w:rPr>
        <w:t>modification</w:t>
      </w:r>
      <w:r w:rsidRPr="006F7C42">
        <w:rPr>
          <w:color w:val="000000"/>
          <w:spacing w:val="38"/>
          <w:w w:val="105"/>
          <w:sz w:val="22"/>
          <w:szCs w:val="22"/>
        </w:rPr>
        <w:t xml:space="preserve"> </w:t>
      </w:r>
      <w:r w:rsidRPr="006F7C42">
        <w:rPr>
          <w:color w:val="000000"/>
          <w:w w:val="105"/>
          <w:sz w:val="22"/>
          <w:szCs w:val="22"/>
        </w:rPr>
        <w:t>des</w:t>
      </w:r>
      <w:r w:rsidRPr="006F7C42">
        <w:rPr>
          <w:color w:val="000000"/>
          <w:spacing w:val="12"/>
          <w:w w:val="105"/>
          <w:sz w:val="22"/>
          <w:szCs w:val="22"/>
        </w:rPr>
        <w:t xml:space="preserve"> </w:t>
      </w:r>
      <w:r w:rsidRPr="006F7C42">
        <w:rPr>
          <w:color w:val="000000"/>
          <w:w w:val="105"/>
          <w:sz w:val="22"/>
          <w:szCs w:val="22"/>
        </w:rPr>
        <w:t>dispositions</w:t>
      </w:r>
      <w:r w:rsidRPr="006F7C42">
        <w:rPr>
          <w:color w:val="000000"/>
          <w:spacing w:val="23"/>
          <w:w w:val="105"/>
          <w:sz w:val="22"/>
          <w:szCs w:val="22"/>
        </w:rPr>
        <w:t xml:space="preserve"> </w:t>
      </w:r>
      <w:r w:rsidRPr="006F7C42">
        <w:rPr>
          <w:color w:val="000000"/>
          <w:w w:val="105"/>
          <w:sz w:val="22"/>
          <w:szCs w:val="22"/>
        </w:rPr>
        <w:t>du</w:t>
      </w:r>
      <w:r w:rsidRPr="006F7C42">
        <w:rPr>
          <w:color w:val="000000"/>
          <w:spacing w:val="18"/>
          <w:w w:val="105"/>
          <w:sz w:val="22"/>
          <w:szCs w:val="22"/>
        </w:rPr>
        <w:t xml:space="preserve"> </w:t>
      </w:r>
      <w:r w:rsidRPr="006F7C42">
        <w:rPr>
          <w:color w:val="000000"/>
          <w:w w:val="105"/>
          <w:sz w:val="22"/>
          <w:szCs w:val="22"/>
        </w:rPr>
        <w:t>code</w:t>
      </w:r>
      <w:r w:rsidRPr="006F7C42">
        <w:rPr>
          <w:color w:val="000000"/>
          <w:spacing w:val="10"/>
          <w:w w:val="105"/>
          <w:sz w:val="22"/>
          <w:szCs w:val="22"/>
        </w:rPr>
        <w:t xml:space="preserve"> </w:t>
      </w:r>
      <w:r w:rsidRPr="006F7C42">
        <w:rPr>
          <w:color w:val="000000"/>
          <w:w w:val="105"/>
          <w:sz w:val="22"/>
          <w:szCs w:val="22"/>
        </w:rPr>
        <w:t>des</w:t>
      </w:r>
      <w:r w:rsidRPr="006F7C42">
        <w:rPr>
          <w:color w:val="000000"/>
          <w:spacing w:val="6"/>
          <w:w w:val="105"/>
          <w:sz w:val="22"/>
          <w:szCs w:val="22"/>
        </w:rPr>
        <w:t xml:space="preserve"> </w:t>
      </w:r>
      <w:r w:rsidRPr="006F7C42">
        <w:rPr>
          <w:color w:val="000000"/>
          <w:w w:val="105"/>
          <w:sz w:val="22"/>
          <w:szCs w:val="22"/>
        </w:rPr>
        <w:t>assurances</w:t>
      </w:r>
      <w:r w:rsidRPr="006F7C42">
        <w:rPr>
          <w:color w:val="000000"/>
          <w:spacing w:val="19"/>
          <w:w w:val="105"/>
          <w:sz w:val="22"/>
          <w:szCs w:val="22"/>
        </w:rPr>
        <w:t xml:space="preserve"> </w:t>
      </w:r>
      <w:r w:rsidRPr="006F7C42">
        <w:rPr>
          <w:color w:val="000000"/>
          <w:w w:val="105"/>
          <w:sz w:val="22"/>
          <w:szCs w:val="22"/>
        </w:rPr>
        <w:t>relatives</w:t>
      </w:r>
      <w:r w:rsidRPr="006F7C42">
        <w:rPr>
          <w:color w:val="000000"/>
          <w:spacing w:val="28"/>
          <w:w w:val="105"/>
          <w:sz w:val="22"/>
          <w:szCs w:val="22"/>
        </w:rPr>
        <w:t xml:space="preserve"> </w:t>
      </w:r>
      <w:r w:rsidRPr="006F7C42">
        <w:rPr>
          <w:color w:val="000000"/>
          <w:w w:val="105"/>
          <w:sz w:val="22"/>
          <w:szCs w:val="22"/>
        </w:rPr>
        <w:t>à</w:t>
      </w:r>
      <w:r w:rsidRPr="006F7C42">
        <w:rPr>
          <w:color w:val="000000"/>
          <w:spacing w:val="7"/>
          <w:w w:val="105"/>
          <w:sz w:val="22"/>
          <w:szCs w:val="22"/>
        </w:rPr>
        <w:t xml:space="preserve"> </w:t>
      </w:r>
      <w:r w:rsidRPr="006F7C42">
        <w:rPr>
          <w:color w:val="000000"/>
          <w:w w:val="105"/>
          <w:sz w:val="22"/>
          <w:szCs w:val="22"/>
        </w:rPr>
        <w:t xml:space="preserve">la </w:t>
      </w:r>
      <w:r w:rsidRPr="006F7C42">
        <w:rPr>
          <w:color w:val="000000"/>
          <w:w w:val="110"/>
          <w:sz w:val="22"/>
          <w:szCs w:val="22"/>
        </w:rPr>
        <w:t>réglementation</w:t>
      </w:r>
      <w:r w:rsidRPr="006F7C42">
        <w:rPr>
          <w:color w:val="000000"/>
          <w:spacing w:val="11"/>
          <w:w w:val="110"/>
          <w:sz w:val="22"/>
          <w:szCs w:val="22"/>
        </w:rPr>
        <w:t xml:space="preserve"> </w:t>
      </w:r>
      <w:r w:rsidRPr="006F7C42">
        <w:rPr>
          <w:color w:val="000000"/>
          <w:w w:val="110"/>
          <w:sz w:val="22"/>
          <w:szCs w:val="22"/>
        </w:rPr>
        <w:t>des</w:t>
      </w:r>
      <w:r w:rsidRPr="006F7C42">
        <w:rPr>
          <w:color w:val="000000"/>
          <w:spacing w:val="-19"/>
          <w:w w:val="110"/>
          <w:sz w:val="22"/>
          <w:szCs w:val="22"/>
        </w:rPr>
        <w:t xml:space="preserve"> </w:t>
      </w:r>
      <w:r w:rsidRPr="006F7C42">
        <w:rPr>
          <w:color w:val="000000"/>
          <w:w w:val="110"/>
          <w:sz w:val="22"/>
          <w:szCs w:val="22"/>
        </w:rPr>
        <w:t>placements</w:t>
      </w:r>
      <w:r w:rsidRPr="006F7C42">
        <w:rPr>
          <w:color w:val="000000"/>
          <w:spacing w:val="5"/>
          <w:w w:val="110"/>
          <w:sz w:val="22"/>
          <w:szCs w:val="22"/>
        </w:rPr>
        <w:t xml:space="preserve"> </w:t>
      </w:r>
      <w:r w:rsidRPr="006F7C42">
        <w:rPr>
          <w:color w:val="000000"/>
          <w:w w:val="110"/>
          <w:sz w:val="22"/>
          <w:szCs w:val="22"/>
        </w:rPr>
        <w:t>des</w:t>
      </w:r>
      <w:r w:rsidRPr="006F7C42">
        <w:rPr>
          <w:color w:val="000000"/>
          <w:spacing w:val="-7"/>
          <w:w w:val="110"/>
          <w:sz w:val="22"/>
          <w:szCs w:val="22"/>
        </w:rPr>
        <w:t xml:space="preserve"> </w:t>
      </w:r>
      <w:r w:rsidRPr="006F7C42">
        <w:rPr>
          <w:color w:val="000000"/>
          <w:w w:val="110"/>
          <w:sz w:val="22"/>
          <w:szCs w:val="22"/>
        </w:rPr>
        <w:t>entreprises</w:t>
      </w:r>
      <w:r w:rsidRPr="006F7C42">
        <w:rPr>
          <w:color w:val="000000"/>
          <w:spacing w:val="-4"/>
          <w:w w:val="110"/>
          <w:sz w:val="22"/>
          <w:szCs w:val="22"/>
        </w:rPr>
        <w:t xml:space="preserve"> </w:t>
      </w:r>
      <w:r w:rsidRPr="006F7C42">
        <w:rPr>
          <w:color w:val="000000"/>
          <w:w w:val="110"/>
          <w:sz w:val="22"/>
          <w:szCs w:val="22"/>
        </w:rPr>
        <w:t>d'assurance et</w:t>
      </w:r>
      <w:r w:rsidRPr="006F7C42">
        <w:rPr>
          <w:color w:val="000000"/>
          <w:spacing w:val="-11"/>
          <w:w w:val="110"/>
          <w:sz w:val="22"/>
          <w:szCs w:val="22"/>
        </w:rPr>
        <w:t xml:space="preserve"> </w:t>
      </w:r>
      <w:r w:rsidRPr="006F7C42">
        <w:rPr>
          <w:color w:val="000000"/>
          <w:w w:val="110"/>
          <w:sz w:val="22"/>
          <w:szCs w:val="22"/>
        </w:rPr>
        <w:t>de</w:t>
      </w:r>
      <w:r w:rsidRPr="006F7C42">
        <w:rPr>
          <w:color w:val="000000"/>
          <w:spacing w:val="-16"/>
          <w:w w:val="110"/>
          <w:sz w:val="22"/>
          <w:szCs w:val="22"/>
        </w:rPr>
        <w:t xml:space="preserve"> </w:t>
      </w:r>
      <w:r w:rsidRPr="006F7C42">
        <w:rPr>
          <w:color w:val="000000"/>
          <w:w w:val="110"/>
          <w:sz w:val="22"/>
          <w:szCs w:val="22"/>
        </w:rPr>
        <w:t xml:space="preserve">capitalisation </w:t>
      </w:r>
      <w:r w:rsidRPr="006F7C42">
        <w:rPr>
          <w:color w:val="000000"/>
          <w:sz w:val="22"/>
          <w:szCs w:val="22"/>
        </w:rPr>
        <w:t>(Arrêté de promulgation n° 114/NS/MRCL du 23/01/85, JOPF 10/02/85, p. 29 NS)</w:t>
      </w:r>
      <w:r w:rsidRPr="006F7C42">
        <w:rPr>
          <w:color w:val="000000"/>
          <w:w w:val="110"/>
          <w:sz w:val="22"/>
          <w:szCs w:val="22"/>
        </w:rPr>
        <w:t> ;</w:t>
      </w:r>
    </w:p>
    <w:p w14:paraId="0EC64D53" w14:textId="77777777" w:rsidR="000819C7" w:rsidRPr="006F7C42" w:rsidRDefault="000819C7" w:rsidP="000819C7">
      <w:pPr>
        <w:pStyle w:val="Titre"/>
        <w:ind w:left="142" w:hanging="142"/>
        <w:jc w:val="both"/>
        <w:rPr>
          <w:rFonts w:ascii="Times New Roman" w:hAnsi="Times New Roman" w:cs="Times New Roman"/>
          <w:b w:val="0"/>
          <w:w w:val="105"/>
          <w:sz w:val="22"/>
          <w:szCs w:val="22"/>
        </w:rPr>
      </w:pPr>
      <w:r w:rsidRPr="006F7C42">
        <w:rPr>
          <w:rFonts w:ascii="Times New Roman" w:hAnsi="Times New Roman" w:cs="Times New Roman"/>
          <w:b w:val="0"/>
          <w:w w:val="110"/>
          <w:sz w:val="22"/>
          <w:szCs w:val="22"/>
        </w:rPr>
        <w:t xml:space="preserve">- </w:t>
      </w:r>
      <w:r w:rsidRPr="006F7C42">
        <w:rPr>
          <w:rFonts w:ascii="Times New Roman" w:hAnsi="Times New Roman" w:cs="Times New Roman"/>
          <w:b w:val="0"/>
          <w:w w:val="105"/>
          <w:sz w:val="22"/>
          <w:szCs w:val="22"/>
        </w:rPr>
        <w:t>Décret</w:t>
      </w:r>
      <w:r w:rsidRPr="006F7C42">
        <w:rPr>
          <w:rFonts w:ascii="Times New Roman" w:hAnsi="Times New Roman" w:cs="Times New Roman"/>
          <w:b w:val="0"/>
          <w:spacing w:val="20"/>
          <w:w w:val="105"/>
          <w:sz w:val="22"/>
          <w:szCs w:val="22"/>
        </w:rPr>
        <w:t xml:space="preserve"> </w:t>
      </w:r>
      <w:r w:rsidRPr="006F7C42">
        <w:rPr>
          <w:rFonts w:ascii="Times New Roman" w:hAnsi="Times New Roman" w:cs="Times New Roman"/>
          <w:b w:val="0"/>
          <w:w w:val="105"/>
          <w:sz w:val="22"/>
          <w:szCs w:val="22"/>
        </w:rPr>
        <w:t>n°</w:t>
      </w:r>
      <w:r w:rsidRPr="006F7C42">
        <w:rPr>
          <w:rFonts w:ascii="Times New Roman" w:hAnsi="Times New Roman" w:cs="Times New Roman"/>
          <w:b w:val="0"/>
          <w:spacing w:val="26"/>
          <w:w w:val="105"/>
          <w:sz w:val="22"/>
          <w:szCs w:val="22"/>
        </w:rPr>
        <w:t xml:space="preserve"> </w:t>
      </w:r>
      <w:r w:rsidRPr="006F7C42">
        <w:rPr>
          <w:rFonts w:ascii="Times New Roman" w:hAnsi="Times New Roman" w:cs="Times New Roman"/>
          <w:b w:val="0"/>
          <w:w w:val="105"/>
          <w:sz w:val="22"/>
          <w:szCs w:val="22"/>
        </w:rPr>
        <w:t>85-863</w:t>
      </w:r>
      <w:r w:rsidRPr="006F7C42">
        <w:rPr>
          <w:rFonts w:ascii="Times New Roman" w:hAnsi="Times New Roman" w:cs="Times New Roman"/>
          <w:b w:val="0"/>
          <w:spacing w:val="19"/>
          <w:w w:val="105"/>
          <w:sz w:val="22"/>
          <w:szCs w:val="22"/>
        </w:rPr>
        <w:t xml:space="preserve"> </w:t>
      </w:r>
      <w:r w:rsidRPr="006F7C42">
        <w:rPr>
          <w:rFonts w:ascii="Times New Roman" w:hAnsi="Times New Roman" w:cs="Times New Roman"/>
          <w:b w:val="0"/>
          <w:w w:val="105"/>
          <w:sz w:val="22"/>
          <w:szCs w:val="22"/>
        </w:rPr>
        <w:t>du</w:t>
      </w:r>
      <w:r w:rsidRPr="006F7C42">
        <w:rPr>
          <w:rFonts w:ascii="Times New Roman" w:hAnsi="Times New Roman" w:cs="Times New Roman"/>
          <w:b w:val="0"/>
          <w:spacing w:val="22"/>
          <w:w w:val="105"/>
          <w:sz w:val="22"/>
          <w:szCs w:val="22"/>
        </w:rPr>
        <w:t xml:space="preserve"> </w:t>
      </w:r>
      <w:r w:rsidRPr="006F7C42">
        <w:rPr>
          <w:rFonts w:ascii="Times New Roman" w:hAnsi="Times New Roman" w:cs="Times New Roman"/>
          <w:b w:val="0"/>
          <w:w w:val="105"/>
          <w:sz w:val="22"/>
          <w:szCs w:val="22"/>
        </w:rPr>
        <w:t>2/08/85</w:t>
      </w:r>
      <w:r w:rsidRPr="006F7C42">
        <w:rPr>
          <w:rFonts w:ascii="Times New Roman" w:hAnsi="Times New Roman" w:cs="Times New Roman"/>
          <w:b w:val="0"/>
          <w:spacing w:val="22"/>
          <w:w w:val="105"/>
          <w:sz w:val="22"/>
          <w:szCs w:val="22"/>
        </w:rPr>
        <w:t xml:space="preserve"> </w:t>
      </w:r>
      <w:r w:rsidRPr="006F7C42">
        <w:rPr>
          <w:rFonts w:ascii="Times New Roman" w:hAnsi="Times New Roman" w:cs="Times New Roman"/>
          <w:b w:val="0"/>
          <w:w w:val="105"/>
          <w:sz w:val="22"/>
          <w:szCs w:val="22"/>
        </w:rPr>
        <w:t>relatif</w:t>
      </w:r>
      <w:r w:rsidRPr="006F7C42">
        <w:rPr>
          <w:rFonts w:ascii="Times New Roman" w:hAnsi="Times New Roman" w:cs="Times New Roman"/>
          <w:b w:val="0"/>
          <w:spacing w:val="26"/>
          <w:w w:val="105"/>
          <w:sz w:val="22"/>
          <w:szCs w:val="22"/>
        </w:rPr>
        <w:t xml:space="preserve"> </w:t>
      </w:r>
      <w:r w:rsidRPr="006F7C42">
        <w:rPr>
          <w:rFonts w:ascii="Times New Roman" w:hAnsi="Times New Roman" w:cs="Times New Roman"/>
          <w:b w:val="0"/>
          <w:w w:val="105"/>
          <w:sz w:val="22"/>
          <w:szCs w:val="22"/>
        </w:rPr>
        <w:t>à</w:t>
      </w:r>
      <w:r w:rsidRPr="006F7C42">
        <w:rPr>
          <w:rFonts w:ascii="Times New Roman" w:hAnsi="Times New Roman" w:cs="Times New Roman"/>
          <w:b w:val="0"/>
          <w:spacing w:val="15"/>
          <w:w w:val="105"/>
          <w:sz w:val="22"/>
          <w:szCs w:val="22"/>
        </w:rPr>
        <w:t xml:space="preserve"> </w:t>
      </w:r>
      <w:r w:rsidRPr="006F7C42">
        <w:rPr>
          <w:rFonts w:ascii="Times New Roman" w:hAnsi="Times New Roman" w:cs="Times New Roman"/>
          <w:b w:val="0"/>
          <w:w w:val="105"/>
          <w:sz w:val="22"/>
          <w:szCs w:val="22"/>
        </w:rPr>
        <w:t>la</w:t>
      </w:r>
      <w:r w:rsidRPr="006F7C42">
        <w:rPr>
          <w:rFonts w:ascii="Times New Roman" w:hAnsi="Times New Roman" w:cs="Times New Roman"/>
          <w:b w:val="0"/>
          <w:spacing w:val="15"/>
          <w:w w:val="105"/>
          <w:sz w:val="22"/>
          <w:szCs w:val="22"/>
        </w:rPr>
        <w:t xml:space="preserve"> </w:t>
      </w:r>
      <w:r w:rsidRPr="006F7C42">
        <w:rPr>
          <w:rFonts w:ascii="Times New Roman" w:hAnsi="Times New Roman" w:cs="Times New Roman"/>
          <w:b w:val="0"/>
          <w:w w:val="105"/>
          <w:sz w:val="22"/>
          <w:szCs w:val="22"/>
        </w:rPr>
        <w:t>codification</w:t>
      </w:r>
      <w:r w:rsidRPr="006F7C42">
        <w:rPr>
          <w:rFonts w:ascii="Times New Roman" w:hAnsi="Times New Roman" w:cs="Times New Roman"/>
          <w:b w:val="0"/>
          <w:spacing w:val="42"/>
          <w:w w:val="105"/>
          <w:sz w:val="22"/>
          <w:szCs w:val="22"/>
        </w:rPr>
        <w:t xml:space="preserve"> </w:t>
      </w:r>
      <w:r w:rsidRPr="006F7C42">
        <w:rPr>
          <w:rFonts w:ascii="Times New Roman" w:hAnsi="Times New Roman" w:cs="Times New Roman"/>
          <w:b w:val="0"/>
          <w:w w:val="105"/>
          <w:sz w:val="22"/>
          <w:szCs w:val="22"/>
        </w:rPr>
        <w:t>de</w:t>
      </w:r>
      <w:r w:rsidRPr="006F7C42">
        <w:rPr>
          <w:rFonts w:ascii="Times New Roman" w:hAnsi="Times New Roman" w:cs="Times New Roman"/>
          <w:b w:val="0"/>
          <w:spacing w:val="-3"/>
          <w:w w:val="105"/>
          <w:sz w:val="22"/>
          <w:szCs w:val="22"/>
        </w:rPr>
        <w:t xml:space="preserve"> </w:t>
      </w:r>
      <w:r w:rsidRPr="006F7C42">
        <w:rPr>
          <w:rFonts w:ascii="Times New Roman" w:hAnsi="Times New Roman" w:cs="Times New Roman"/>
          <w:b w:val="0"/>
          <w:w w:val="105"/>
          <w:sz w:val="22"/>
          <w:szCs w:val="22"/>
        </w:rPr>
        <w:t>textes</w:t>
      </w:r>
      <w:r w:rsidRPr="006F7C42">
        <w:rPr>
          <w:rFonts w:ascii="Times New Roman" w:hAnsi="Times New Roman" w:cs="Times New Roman"/>
          <w:b w:val="0"/>
          <w:spacing w:val="23"/>
          <w:w w:val="105"/>
          <w:sz w:val="22"/>
          <w:szCs w:val="22"/>
        </w:rPr>
        <w:t xml:space="preserve"> </w:t>
      </w:r>
      <w:r w:rsidRPr="006F7C42">
        <w:rPr>
          <w:rFonts w:ascii="Times New Roman" w:hAnsi="Times New Roman" w:cs="Times New Roman"/>
          <w:b w:val="0"/>
          <w:w w:val="105"/>
          <w:sz w:val="22"/>
          <w:szCs w:val="22"/>
        </w:rPr>
        <w:t>législatifs</w:t>
      </w:r>
      <w:r w:rsidRPr="006F7C42">
        <w:rPr>
          <w:rFonts w:ascii="Times New Roman" w:hAnsi="Times New Roman" w:cs="Times New Roman"/>
          <w:b w:val="0"/>
          <w:spacing w:val="22"/>
          <w:w w:val="105"/>
          <w:sz w:val="22"/>
          <w:szCs w:val="22"/>
        </w:rPr>
        <w:t xml:space="preserve"> </w:t>
      </w:r>
      <w:r w:rsidRPr="006F7C42">
        <w:rPr>
          <w:rFonts w:ascii="Times New Roman" w:hAnsi="Times New Roman" w:cs="Times New Roman"/>
          <w:b w:val="0"/>
          <w:w w:val="105"/>
          <w:sz w:val="22"/>
          <w:szCs w:val="22"/>
        </w:rPr>
        <w:t>concernant</w:t>
      </w:r>
      <w:r w:rsidRPr="006F7C42">
        <w:rPr>
          <w:rFonts w:ascii="Times New Roman" w:hAnsi="Times New Roman" w:cs="Times New Roman"/>
          <w:b w:val="0"/>
          <w:spacing w:val="31"/>
          <w:w w:val="105"/>
          <w:sz w:val="22"/>
          <w:szCs w:val="22"/>
        </w:rPr>
        <w:t xml:space="preserve"> </w:t>
      </w:r>
      <w:r w:rsidRPr="006F7C42">
        <w:rPr>
          <w:rFonts w:ascii="Times New Roman" w:hAnsi="Times New Roman" w:cs="Times New Roman"/>
          <w:b w:val="0"/>
          <w:w w:val="105"/>
          <w:sz w:val="22"/>
          <w:szCs w:val="22"/>
        </w:rPr>
        <w:t>les</w:t>
      </w:r>
      <w:r w:rsidRPr="006F7C42">
        <w:rPr>
          <w:rFonts w:ascii="Times New Roman" w:hAnsi="Times New Roman" w:cs="Times New Roman"/>
          <w:b w:val="0"/>
          <w:spacing w:val="14"/>
          <w:w w:val="105"/>
          <w:sz w:val="22"/>
          <w:szCs w:val="22"/>
        </w:rPr>
        <w:t xml:space="preserve"> </w:t>
      </w:r>
      <w:r w:rsidRPr="006F7C42">
        <w:rPr>
          <w:rFonts w:ascii="Times New Roman" w:hAnsi="Times New Roman" w:cs="Times New Roman"/>
          <w:b w:val="0"/>
          <w:w w:val="105"/>
          <w:sz w:val="22"/>
          <w:szCs w:val="22"/>
        </w:rPr>
        <w:t xml:space="preserve">assurances </w:t>
      </w:r>
      <w:r w:rsidRPr="006F7C42">
        <w:rPr>
          <w:rFonts w:ascii="Times New Roman" w:hAnsi="Times New Roman" w:cs="Times New Roman"/>
          <w:b w:val="0"/>
          <w:sz w:val="22"/>
          <w:szCs w:val="22"/>
        </w:rPr>
        <w:t>(Arrêté de promulgation n° 954 DRCL du 29/07/86, JOPF 10/08/86, p. 967)</w:t>
      </w:r>
      <w:r w:rsidRPr="006F7C42">
        <w:rPr>
          <w:rFonts w:ascii="Times New Roman" w:hAnsi="Times New Roman" w:cs="Times New Roman"/>
          <w:b w:val="0"/>
          <w:w w:val="105"/>
          <w:sz w:val="22"/>
          <w:szCs w:val="22"/>
        </w:rPr>
        <w:t> ;</w:t>
      </w:r>
    </w:p>
    <w:p w14:paraId="68911F19" w14:textId="77777777" w:rsidR="000819C7" w:rsidRPr="006F7C42" w:rsidRDefault="000819C7" w:rsidP="000819C7">
      <w:pPr>
        <w:pStyle w:val="Titre"/>
        <w:ind w:left="142" w:hanging="142"/>
        <w:jc w:val="both"/>
        <w:rPr>
          <w:rFonts w:ascii="Times New Roman" w:hAnsi="Times New Roman" w:cs="Times New Roman"/>
          <w:b w:val="0"/>
          <w:w w:val="105"/>
          <w:sz w:val="22"/>
          <w:szCs w:val="22"/>
        </w:rPr>
      </w:pPr>
      <w:r w:rsidRPr="006F7C42">
        <w:rPr>
          <w:rFonts w:ascii="Times New Roman" w:hAnsi="Times New Roman" w:cs="Times New Roman"/>
          <w:b w:val="0"/>
          <w:w w:val="105"/>
          <w:sz w:val="22"/>
          <w:szCs w:val="22"/>
        </w:rPr>
        <w:t>- Décret</w:t>
      </w:r>
      <w:r w:rsidRPr="006F7C42">
        <w:rPr>
          <w:rFonts w:ascii="Times New Roman" w:hAnsi="Times New Roman" w:cs="Times New Roman"/>
          <w:b w:val="0"/>
          <w:spacing w:val="30"/>
          <w:w w:val="105"/>
          <w:sz w:val="22"/>
          <w:szCs w:val="22"/>
        </w:rPr>
        <w:t xml:space="preserve"> </w:t>
      </w:r>
      <w:r w:rsidRPr="006F7C42">
        <w:rPr>
          <w:rFonts w:ascii="Times New Roman" w:hAnsi="Times New Roman" w:cs="Times New Roman"/>
          <w:b w:val="0"/>
          <w:w w:val="105"/>
          <w:sz w:val="22"/>
          <w:szCs w:val="22"/>
        </w:rPr>
        <w:t>n°</w:t>
      </w:r>
      <w:r w:rsidRPr="006F7C42">
        <w:rPr>
          <w:rFonts w:ascii="Times New Roman" w:hAnsi="Times New Roman" w:cs="Times New Roman"/>
          <w:b w:val="0"/>
          <w:spacing w:val="23"/>
          <w:w w:val="105"/>
          <w:sz w:val="22"/>
          <w:szCs w:val="22"/>
        </w:rPr>
        <w:t xml:space="preserve"> </w:t>
      </w:r>
      <w:r w:rsidRPr="006F7C42">
        <w:rPr>
          <w:rFonts w:ascii="Times New Roman" w:hAnsi="Times New Roman" w:cs="Times New Roman"/>
          <w:b w:val="0"/>
          <w:w w:val="105"/>
          <w:sz w:val="22"/>
          <w:szCs w:val="22"/>
        </w:rPr>
        <w:t>85-864</w:t>
      </w:r>
      <w:r w:rsidRPr="006F7C42">
        <w:rPr>
          <w:rFonts w:ascii="Times New Roman" w:hAnsi="Times New Roman" w:cs="Times New Roman"/>
          <w:b w:val="0"/>
          <w:spacing w:val="17"/>
          <w:w w:val="105"/>
          <w:sz w:val="22"/>
          <w:szCs w:val="22"/>
        </w:rPr>
        <w:t xml:space="preserve"> </w:t>
      </w:r>
      <w:r w:rsidRPr="006F7C42">
        <w:rPr>
          <w:rFonts w:ascii="Times New Roman" w:hAnsi="Times New Roman" w:cs="Times New Roman"/>
          <w:b w:val="0"/>
          <w:w w:val="105"/>
          <w:sz w:val="22"/>
          <w:szCs w:val="22"/>
        </w:rPr>
        <w:t>du</w:t>
      </w:r>
      <w:r w:rsidRPr="006F7C42">
        <w:rPr>
          <w:rFonts w:ascii="Times New Roman" w:hAnsi="Times New Roman" w:cs="Times New Roman"/>
          <w:b w:val="0"/>
          <w:spacing w:val="25"/>
          <w:w w:val="105"/>
          <w:sz w:val="22"/>
          <w:szCs w:val="22"/>
        </w:rPr>
        <w:t xml:space="preserve"> </w:t>
      </w:r>
      <w:r w:rsidRPr="006F7C42">
        <w:rPr>
          <w:rFonts w:ascii="Times New Roman" w:hAnsi="Times New Roman" w:cs="Times New Roman"/>
          <w:b w:val="0"/>
          <w:w w:val="105"/>
          <w:sz w:val="22"/>
          <w:szCs w:val="22"/>
        </w:rPr>
        <w:t>2/08/85</w:t>
      </w:r>
      <w:r w:rsidRPr="006F7C42">
        <w:rPr>
          <w:rFonts w:ascii="Times New Roman" w:hAnsi="Times New Roman" w:cs="Times New Roman"/>
          <w:b w:val="0"/>
          <w:spacing w:val="20"/>
          <w:w w:val="105"/>
          <w:sz w:val="22"/>
          <w:szCs w:val="22"/>
        </w:rPr>
        <w:t xml:space="preserve"> </w:t>
      </w:r>
      <w:r w:rsidRPr="006F7C42">
        <w:rPr>
          <w:rFonts w:ascii="Times New Roman" w:hAnsi="Times New Roman" w:cs="Times New Roman"/>
          <w:b w:val="0"/>
          <w:w w:val="105"/>
          <w:sz w:val="22"/>
          <w:szCs w:val="22"/>
        </w:rPr>
        <w:t>relatif</w:t>
      </w:r>
      <w:r w:rsidRPr="006F7C42">
        <w:rPr>
          <w:rFonts w:ascii="Times New Roman" w:hAnsi="Times New Roman" w:cs="Times New Roman"/>
          <w:b w:val="0"/>
          <w:spacing w:val="19"/>
          <w:w w:val="105"/>
          <w:sz w:val="22"/>
          <w:szCs w:val="22"/>
        </w:rPr>
        <w:t xml:space="preserve"> </w:t>
      </w:r>
      <w:r w:rsidRPr="006F7C42">
        <w:rPr>
          <w:rFonts w:ascii="Times New Roman" w:hAnsi="Times New Roman" w:cs="Times New Roman"/>
          <w:b w:val="0"/>
          <w:w w:val="105"/>
          <w:sz w:val="22"/>
          <w:szCs w:val="22"/>
        </w:rPr>
        <w:t>à</w:t>
      </w:r>
      <w:r w:rsidRPr="006F7C42">
        <w:rPr>
          <w:rFonts w:ascii="Times New Roman" w:hAnsi="Times New Roman" w:cs="Times New Roman"/>
          <w:b w:val="0"/>
          <w:spacing w:val="18"/>
          <w:w w:val="105"/>
          <w:sz w:val="22"/>
          <w:szCs w:val="22"/>
        </w:rPr>
        <w:t xml:space="preserve"> </w:t>
      </w:r>
      <w:r w:rsidRPr="006F7C42">
        <w:rPr>
          <w:rFonts w:ascii="Times New Roman" w:hAnsi="Times New Roman" w:cs="Times New Roman"/>
          <w:b w:val="0"/>
          <w:w w:val="105"/>
          <w:sz w:val="22"/>
          <w:szCs w:val="22"/>
        </w:rPr>
        <w:t>la</w:t>
      </w:r>
      <w:r w:rsidRPr="006F7C42">
        <w:rPr>
          <w:rFonts w:ascii="Times New Roman" w:hAnsi="Times New Roman" w:cs="Times New Roman"/>
          <w:b w:val="0"/>
          <w:spacing w:val="12"/>
          <w:w w:val="105"/>
          <w:sz w:val="22"/>
          <w:szCs w:val="22"/>
        </w:rPr>
        <w:t xml:space="preserve"> </w:t>
      </w:r>
      <w:r w:rsidRPr="006F7C42">
        <w:rPr>
          <w:rFonts w:ascii="Times New Roman" w:hAnsi="Times New Roman" w:cs="Times New Roman"/>
          <w:b w:val="0"/>
          <w:w w:val="105"/>
          <w:sz w:val="22"/>
          <w:szCs w:val="22"/>
        </w:rPr>
        <w:t>codification</w:t>
      </w:r>
      <w:r w:rsidRPr="006F7C42">
        <w:rPr>
          <w:rFonts w:ascii="Times New Roman" w:hAnsi="Times New Roman" w:cs="Times New Roman"/>
          <w:b w:val="0"/>
          <w:spacing w:val="42"/>
          <w:w w:val="105"/>
          <w:sz w:val="22"/>
          <w:szCs w:val="22"/>
        </w:rPr>
        <w:t xml:space="preserve"> </w:t>
      </w:r>
      <w:r w:rsidRPr="006F7C42">
        <w:rPr>
          <w:rFonts w:ascii="Times New Roman" w:hAnsi="Times New Roman" w:cs="Times New Roman"/>
          <w:b w:val="0"/>
          <w:w w:val="105"/>
          <w:sz w:val="22"/>
          <w:szCs w:val="22"/>
        </w:rPr>
        <w:t>des</w:t>
      </w:r>
      <w:r w:rsidRPr="006F7C42">
        <w:rPr>
          <w:rFonts w:ascii="Times New Roman" w:hAnsi="Times New Roman" w:cs="Times New Roman"/>
          <w:b w:val="0"/>
          <w:spacing w:val="6"/>
          <w:w w:val="105"/>
          <w:sz w:val="22"/>
          <w:szCs w:val="22"/>
        </w:rPr>
        <w:t xml:space="preserve"> </w:t>
      </w:r>
      <w:r w:rsidRPr="006F7C42">
        <w:rPr>
          <w:rFonts w:ascii="Times New Roman" w:hAnsi="Times New Roman" w:cs="Times New Roman"/>
          <w:b w:val="0"/>
          <w:w w:val="105"/>
          <w:sz w:val="22"/>
          <w:szCs w:val="22"/>
        </w:rPr>
        <w:t>textes</w:t>
      </w:r>
      <w:r w:rsidRPr="006F7C42">
        <w:rPr>
          <w:rFonts w:ascii="Times New Roman" w:hAnsi="Times New Roman" w:cs="Times New Roman"/>
          <w:b w:val="0"/>
          <w:spacing w:val="20"/>
          <w:w w:val="105"/>
          <w:sz w:val="22"/>
          <w:szCs w:val="22"/>
        </w:rPr>
        <w:t xml:space="preserve"> </w:t>
      </w:r>
      <w:r w:rsidRPr="006F7C42">
        <w:rPr>
          <w:rFonts w:ascii="Times New Roman" w:hAnsi="Times New Roman" w:cs="Times New Roman"/>
          <w:b w:val="0"/>
          <w:w w:val="105"/>
          <w:sz w:val="22"/>
          <w:szCs w:val="22"/>
        </w:rPr>
        <w:t>réglementaires</w:t>
      </w:r>
      <w:r w:rsidRPr="006F7C42">
        <w:rPr>
          <w:rFonts w:ascii="Times New Roman" w:hAnsi="Times New Roman" w:cs="Times New Roman"/>
          <w:b w:val="0"/>
          <w:spacing w:val="45"/>
          <w:w w:val="105"/>
          <w:sz w:val="22"/>
          <w:szCs w:val="22"/>
        </w:rPr>
        <w:t xml:space="preserve"> </w:t>
      </w:r>
      <w:r w:rsidRPr="006F7C42">
        <w:rPr>
          <w:rFonts w:ascii="Times New Roman" w:hAnsi="Times New Roman" w:cs="Times New Roman"/>
          <w:b w:val="0"/>
          <w:w w:val="105"/>
          <w:sz w:val="22"/>
          <w:szCs w:val="22"/>
        </w:rPr>
        <w:t>concernant</w:t>
      </w:r>
      <w:r w:rsidRPr="006F7C42">
        <w:rPr>
          <w:rFonts w:ascii="Times New Roman" w:hAnsi="Times New Roman" w:cs="Times New Roman"/>
          <w:b w:val="0"/>
          <w:spacing w:val="35"/>
          <w:w w:val="105"/>
          <w:sz w:val="22"/>
          <w:szCs w:val="22"/>
        </w:rPr>
        <w:t xml:space="preserve"> </w:t>
      </w:r>
      <w:r w:rsidRPr="006F7C42">
        <w:rPr>
          <w:rFonts w:ascii="Times New Roman" w:hAnsi="Times New Roman" w:cs="Times New Roman"/>
          <w:b w:val="0"/>
          <w:w w:val="105"/>
          <w:sz w:val="22"/>
          <w:szCs w:val="22"/>
        </w:rPr>
        <w:t>les</w:t>
      </w:r>
      <w:r w:rsidRPr="006F7C42">
        <w:rPr>
          <w:rFonts w:ascii="Times New Roman" w:hAnsi="Times New Roman" w:cs="Times New Roman"/>
          <w:b w:val="0"/>
          <w:spacing w:val="10"/>
          <w:w w:val="105"/>
          <w:sz w:val="22"/>
          <w:szCs w:val="22"/>
        </w:rPr>
        <w:t xml:space="preserve"> </w:t>
      </w:r>
      <w:r w:rsidRPr="006F7C42">
        <w:rPr>
          <w:rFonts w:ascii="Times New Roman" w:hAnsi="Times New Roman" w:cs="Times New Roman"/>
          <w:b w:val="0"/>
          <w:w w:val="105"/>
          <w:sz w:val="22"/>
          <w:szCs w:val="22"/>
        </w:rPr>
        <w:t xml:space="preserve">assurances </w:t>
      </w:r>
      <w:r w:rsidRPr="006F7C42">
        <w:rPr>
          <w:rFonts w:ascii="Times New Roman" w:hAnsi="Times New Roman" w:cs="Times New Roman"/>
          <w:b w:val="0"/>
          <w:sz w:val="22"/>
          <w:szCs w:val="22"/>
        </w:rPr>
        <w:t>(Arrêté de promulgation n° 954 DRCL du 29/07/86, JOPF 10/08/86, p. 968)</w:t>
      </w:r>
      <w:r w:rsidRPr="006F7C42">
        <w:rPr>
          <w:rFonts w:ascii="Times New Roman" w:hAnsi="Times New Roman" w:cs="Times New Roman"/>
          <w:b w:val="0"/>
          <w:w w:val="105"/>
          <w:sz w:val="22"/>
          <w:szCs w:val="22"/>
        </w:rPr>
        <w:t> ;</w:t>
      </w:r>
    </w:p>
    <w:p w14:paraId="2262F9E5" w14:textId="77777777" w:rsidR="000819C7" w:rsidRDefault="000819C7" w:rsidP="000819C7">
      <w:pPr>
        <w:pStyle w:val="Titre"/>
        <w:ind w:left="142" w:hanging="142"/>
        <w:jc w:val="both"/>
        <w:rPr>
          <w:rFonts w:ascii="Times New Roman" w:hAnsi="Times New Roman" w:cs="Times New Roman"/>
          <w:b w:val="0"/>
          <w:w w:val="105"/>
          <w:sz w:val="22"/>
          <w:szCs w:val="22"/>
        </w:rPr>
      </w:pPr>
      <w:r w:rsidRPr="006F7C42">
        <w:rPr>
          <w:rFonts w:ascii="Times New Roman" w:hAnsi="Times New Roman" w:cs="Times New Roman"/>
          <w:b w:val="0"/>
          <w:w w:val="105"/>
          <w:sz w:val="22"/>
          <w:szCs w:val="22"/>
        </w:rPr>
        <w:t>- Décret</w:t>
      </w:r>
      <w:r w:rsidRPr="006F7C42">
        <w:rPr>
          <w:rFonts w:ascii="Times New Roman" w:hAnsi="Times New Roman" w:cs="Times New Roman"/>
          <w:b w:val="0"/>
          <w:spacing w:val="28"/>
          <w:w w:val="105"/>
          <w:sz w:val="22"/>
          <w:szCs w:val="22"/>
        </w:rPr>
        <w:t xml:space="preserve"> </w:t>
      </w:r>
      <w:r w:rsidRPr="006F7C42">
        <w:rPr>
          <w:rFonts w:ascii="Times New Roman" w:hAnsi="Times New Roman" w:cs="Times New Roman"/>
          <w:b w:val="0"/>
          <w:w w:val="105"/>
          <w:sz w:val="22"/>
          <w:szCs w:val="22"/>
        </w:rPr>
        <w:t>n°</w:t>
      </w:r>
      <w:r w:rsidRPr="006F7C42">
        <w:rPr>
          <w:rFonts w:ascii="Times New Roman" w:hAnsi="Times New Roman" w:cs="Times New Roman"/>
          <w:b w:val="0"/>
          <w:spacing w:val="29"/>
          <w:w w:val="105"/>
          <w:sz w:val="22"/>
          <w:szCs w:val="22"/>
        </w:rPr>
        <w:t xml:space="preserve"> </w:t>
      </w:r>
      <w:r w:rsidRPr="006F7C42">
        <w:rPr>
          <w:rFonts w:ascii="Times New Roman" w:hAnsi="Times New Roman" w:cs="Times New Roman"/>
          <w:b w:val="0"/>
          <w:w w:val="105"/>
          <w:sz w:val="22"/>
          <w:szCs w:val="22"/>
        </w:rPr>
        <w:t>88-456</w:t>
      </w:r>
      <w:r w:rsidRPr="006F7C42">
        <w:rPr>
          <w:rFonts w:ascii="Times New Roman" w:hAnsi="Times New Roman" w:cs="Times New Roman"/>
          <w:b w:val="0"/>
          <w:spacing w:val="16"/>
          <w:w w:val="105"/>
          <w:sz w:val="22"/>
          <w:szCs w:val="22"/>
        </w:rPr>
        <w:t xml:space="preserve"> </w:t>
      </w:r>
      <w:r w:rsidRPr="006F7C42">
        <w:rPr>
          <w:rFonts w:ascii="Times New Roman" w:hAnsi="Times New Roman" w:cs="Times New Roman"/>
          <w:b w:val="0"/>
          <w:w w:val="105"/>
          <w:sz w:val="22"/>
          <w:szCs w:val="22"/>
        </w:rPr>
        <w:t>du</w:t>
      </w:r>
      <w:r w:rsidRPr="006F7C42">
        <w:rPr>
          <w:rFonts w:ascii="Times New Roman" w:hAnsi="Times New Roman" w:cs="Times New Roman"/>
          <w:b w:val="0"/>
          <w:spacing w:val="24"/>
          <w:w w:val="105"/>
          <w:sz w:val="22"/>
          <w:szCs w:val="22"/>
        </w:rPr>
        <w:t xml:space="preserve"> </w:t>
      </w:r>
      <w:r w:rsidRPr="006F7C42">
        <w:rPr>
          <w:rFonts w:ascii="Times New Roman" w:hAnsi="Times New Roman" w:cs="Times New Roman"/>
          <w:b w:val="0"/>
          <w:w w:val="105"/>
          <w:sz w:val="22"/>
          <w:szCs w:val="22"/>
        </w:rPr>
        <w:t>27/04/88</w:t>
      </w:r>
      <w:r w:rsidRPr="006F7C42">
        <w:rPr>
          <w:rFonts w:ascii="Times New Roman" w:hAnsi="Times New Roman" w:cs="Times New Roman"/>
          <w:b w:val="0"/>
          <w:spacing w:val="27"/>
          <w:w w:val="105"/>
          <w:sz w:val="22"/>
          <w:szCs w:val="22"/>
        </w:rPr>
        <w:t xml:space="preserve"> </w:t>
      </w:r>
      <w:r w:rsidRPr="006F7C42">
        <w:rPr>
          <w:rFonts w:ascii="Times New Roman" w:hAnsi="Times New Roman" w:cs="Times New Roman"/>
          <w:b w:val="0"/>
          <w:w w:val="105"/>
          <w:sz w:val="22"/>
          <w:szCs w:val="22"/>
        </w:rPr>
        <w:t>modifiant  le</w:t>
      </w:r>
      <w:r w:rsidRPr="006F7C42">
        <w:rPr>
          <w:rFonts w:ascii="Times New Roman" w:hAnsi="Times New Roman" w:cs="Times New Roman"/>
          <w:b w:val="0"/>
          <w:spacing w:val="11"/>
          <w:w w:val="105"/>
          <w:sz w:val="22"/>
          <w:szCs w:val="22"/>
        </w:rPr>
        <w:t xml:space="preserve"> </w:t>
      </w:r>
      <w:r w:rsidRPr="006F7C42">
        <w:rPr>
          <w:rFonts w:ascii="Times New Roman" w:hAnsi="Times New Roman" w:cs="Times New Roman"/>
          <w:b w:val="0"/>
          <w:w w:val="105"/>
          <w:sz w:val="22"/>
          <w:szCs w:val="22"/>
        </w:rPr>
        <w:t>code</w:t>
      </w:r>
      <w:r w:rsidRPr="006F7C42">
        <w:rPr>
          <w:rFonts w:ascii="Times New Roman" w:hAnsi="Times New Roman" w:cs="Times New Roman"/>
          <w:b w:val="0"/>
          <w:spacing w:val="16"/>
          <w:w w:val="105"/>
          <w:sz w:val="22"/>
          <w:szCs w:val="22"/>
        </w:rPr>
        <w:t xml:space="preserve"> </w:t>
      </w:r>
      <w:r w:rsidRPr="006F7C42">
        <w:rPr>
          <w:rFonts w:ascii="Times New Roman" w:hAnsi="Times New Roman" w:cs="Times New Roman"/>
          <w:b w:val="0"/>
          <w:w w:val="105"/>
          <w:sz w:val="22"/>
          <w:szCs w:val="22"/>
        </w:rPr>
        <w:t>des</w:t>
      </w:r>
      <w:r w:rsidRPr="006F7C42">
        <w:rPr>
          <w:rFonts w:ascii="Times New Roman" w:hAnsi="Times New Roman" w:cs="Times New Roman"/>
          <w:b w:val="0"/>
          <w:spacing w:val="16"/>
          <w:w w:val="105"/>
          <w:sz w:val="22"/>
          <w:szCs w:val="22"/>
        </w:rPr>
        <w:t xml:space="preserve"> </w:t>
      </w:r>
      <w:r w:rsidRPr="006F7C42">
        <w:rPr>
          <w:rFonts w:ascii="Times New Roman" w:hAnsi="Times New Roman" w:cs="Times New Roman"/>
          <w:b w:val="0"/>
          <w:w w:val="105"/>
          <w:sz w:val="22"/>
          <w:szCs w:val="22"/>
        </w:rPr>
        <w:t>assurances</w:t>
      </w:r>
      <w:r w:rsidRPr="006F7C42">
        <w:rPr>
          <w:rFonts w:ascii="Times New Roman" w:hAnsi="Times New Roman" w:cs="Times New Roman"/>
          <w:b w:val="0"/>
          <w:spacing w:val="27"/>
          <w:w w:val="105"/>
          <w:sz w:val="22"/>
          <w:szCs w:val="22"/>
        </w:rPr>
        <w:t xml:space="preserve"> </w:t>
      </w:r>
      <w:r w:rsidRPr="006F7C42">
        <w:rPr>
          <w:rFonts w:ascii="Times New Roman" w:hAnsi="Times New Roman" w:cs="Times New Roman"/>
          <w:b w:val="0"/>
          <w:w w:val="105"/>
          <w:sz w:val="22"/>
          <w:szCs w:val="22"/>
        </w:rPr>
        <w:t>(partie</w:t>
      </w:r>
      <w:r w:rsidRPr="006F7C42">
        <w:rPr>
          <w:rFonts w:ascii="Times New Roman" w:hAnsi="Times New Roman" w:cs="Times New Roman"/>
          <w:b w:val="0"/>
          <w:spacing w:val="8"/>
          <w:w w:val="105"/>
          <w:sz w:val="22"/>
          <w:szCs w:val="22"/>
        </w:rPr>
        <w:t xml:space="preserve"> </w:t>
      </w:r>
      <w:r w:rsidRPr="006F7C42">
        <w:rPr>
          <w:rFonts w:ascii="Times New Roman" w:hAnsi="Times New Roman" w:cs="Times New Roman"/>
          <w:b w:val="0"/>
          <w:w w:val="105"/>
          <w:sz w:val="22"/>
          <w:szCs w:val="22"/>
        </w:rPr>
        <w:t>réglementaire)</w:t>
      </w:r>
      <w:r w:rsidRPr="006F7C42">
        <w:rPr>
          <w:rFonts w:ascii="Times New Roman" w:hAnsi="Times New Roman" w:cs="Times New Roman"/>
          <w:b w:val="0"/>
          <w:spacing w:val="39"/>
          <w:w w:val="105"/>
          <w:sz w:val="22"/>
          <w:szCs w:val="22"/>
        </w:rPr>
        <w:t xml:space="preserve"> </w:t>
      </w:r>
      <w:r w:rsidRPr="006F7C42">
        <w:rPr>
          <w:rFonts w:ascii="Times New Roman" w:hAnsi="Times New Roman" w:cs="Times New Roman"/>
          <w:b w:val="0"/>
          <w:w w:val="105"/>
          <w:sz w:val="22"/>
          <w:szCs w:val="22"/>
        </w:rPr>
        <w:t>en</w:t>
      </w:r>
      <w:r w:rsidRPr="006F7C42">
        <w:rPr>
          <w:rFonts w:ascii="Times New Roman" w:hAnsi="Times New Roman" w:cs="Times New Roman"/>
          <w:b w:val="0"/>
          <w:spacing w:val="15"/>
          <w:w w:val="105"/>
          <w:sz w:val="22"/>
          <w:szCs w:val="22"/>
        </w:rPr>
        <w:t xml:space="preserve"> </w:t>
      </w:r>
      <w:r w:rsidRPr="006F7C42">
        <w:rPr>
          <w:rFonts w:ascii="Times New Roman" w:hAnsi="Times New Roman" w:cs="Times New Roman"/>
          <w:b w:val="0"/>
          <w:w w:val="105"/>
          <w:sz w:val="22"/>
          <w:szCs w:val="22"/>
        </w:rPr>
        <w:t>ce</w:t>
      </w:r>
      <w:r w:rsidRPr="006F7C42">
        <w:rPr>
          <w:rFonts w:ascii="Times New Roman" w:hAnsi="Times New Roman" w:cs="Times New Roman"/>
          <w:b w:val="0"/>
          <w:spacing w:val="9"/>
          <w:w w:val="105"/>
          <w:sz w:val="22"/>
          <w:szCs w:val="22"/>
        </w:rPr>
        <w:t xml:space="preserve"> </w:t>
      </w:r>
      <w:r w:rsidRPr="006F7C42">
        <w:rPr>
          <w:rFonts w:ascii="Times New Roman" w:hAnsi="Times New Roman" w:cs="Times New Roman"/>
          <w:b w:val="0"/>
          <w:w w:val="105"/>
          <w:sz w:val="22"/>
          <w:szCs w:val="22"/>
        </w:rPr>
        <w:t>qui</w:t>
      </w:r>
      <w:r w:rsidRPr="006F7C42">
        <w:rPr>
          <w:rFonts w:ascii="Times New Roman" w:hAnsi="Times New Roman" w:cs="Times New Roman"/>
          <w:b w:val="0"/>
          <w:spacing w:val="25"/>
          <w:w w:val="105"/>
          <w:sz w:val="22"/>
          <w:szCs w:val="22"/>
        </w:rPr>
        <w:t xml:space="preserve"> </w:t>
      </w:r>
      <w:r w:rsidRPr="006F7C42">
        <w:rPr>
          <w:rFonts w:ascii="Times New Roman" w:hAnsi="Times New Roman" w:cs="Times New Roman"/>
          <w:b w:val="0"/>
          <w:w w:val="105"/>
          <w:sz w:val="22"/>
          <w:szCs w:val="22"/>
        </w:rPr>
        <w:t>concerne</w:t>
      </w:r>
      <w:r w:rsidRPr="006F7C42">
        <w:rPr>
          <w:rFonts w:ascii="Times New Roman" w:hAnsi="Times New Roman" w:cs="Times New Roman"/>
          <w:b w:val="0"/>
          <w:spacing w:val="17"/>
          <w:w w:val="105"/>
          <w:sz w:val="22"/>
          <w:szCs w:val="22"/>
        </w:rPr>
        <w:t xml:space="preserve"> </w:t>
      </w:r>
      <w:r w:rsidRPr="006F7C42">
        <w:rPr>
          <w:rFonts w:ascii="Times New Roman" w:hAnsi="Times New Roman" w:cs="Times New Roman"/>
          <w:b w:val="0"/>
          <w:w w:val="105"/>
          <w:sz w:val="22"/>
          <w:szCs w:val="22"/>
        </w:rPr>
        <w:t>notamment</w:t>
      </w:r>
      <w:r w:rsidRPr="006F7C42">
        <w:rPr>
          <w:rFonts w:ascii="Times New Roman" w:hAnsi="Times New Roman" w:cs="Times New Roman"/>
          <w:b w:val="0"/>
          <w:w w:val="106"/>
          <w:sz w:val="22"/>
          <w:szCs w:val="22"/>
        </w:rPr>
        <w:t xml:space="preserve"> </w:t>
      </w:r>
      <w:r w:rsidRPr="006F7C42">
        <w:rPr>
          <w:rFonts w:ascii="Times New Roman" w:hAnsi="Times New Roman" w:cs="Times New Roman"/>
          <w:b w:val="0"/>
          <w:w w:val="105"/>
          <w:sz w:val="22"/>
          <w:szCs w:val="22"/>
        </w:rPr>
        <w:t>les</w:t>
      </w:r>
      <w:r w:rsidRPr="006F7C42">
        <w:rPr>
          <w:rFonts w:ascii="Times New Roman" w:hAnsi="Times New Roman" w:cs="Times New Roman"/>
          <w:b w:val="0"/>
          <w:spacing w:val="37"/>
          <w:w w:val="105"/>
          <w:sz w:val="22"/>
          <w:szCs w:val="22"/>
        </w:rPr>
        <w:t xml:space="preserve"> </w:t>
      </w:r>
      <w:r w:rsidRPr="006F7C42">
        <w:rPr>
          <w:rFonts w:ascii="Times New Roman" w:hAnsi="Times New Roman" w:cs="Times New Roman"/>
          <w:b w:val="0"/>
          <w:w w:val="105"/>
          <w:sz w:val="22"/>
          <w:szCs w:val="22"/>
        </w:rPr>
        <w:t xml:space="preserve">opérations </w:t>
      </w:r>
      <w:r w:rsidRPr="006F7C42">
        <w:rPr>
          <w:rFonts w:ascii="Times New Roman" w:hAnsi="Times New Roman" w:cs="Times New Roman"/>
          <w:b w:val="0"/>
          <w:spacing w:val="5"/>
          <w:w w:val="105"/>
          <w:sz w:val="22"/>
          <w:szCs w:val="22"/>
        </w:rPr>
        <w:t xml:space="preserve"> </w:t>
      </w:r>
      <w:r w:rsidRPr="006F7C42">
        <w:rPr>
          <w:rFonts w:ascii="Times New Roman" w:hAnsi="Times New Roman" w:cs="Times New Roman"/>
          <w:b w:val="0"/>
          <w:w w:val="105"/>
          <w:sz w:val="22"/>
          <w:szCs w:val="22"/>
        </w:rPr>
        <w:t xml:space="preserve">d'assistance </w:t>
      </w:r>
      <w:r w:rsidRPr="006F7C42">
        <w:rPr>
          <w:rFonts w:ascii="Times New Roman" w:hAnsi="Times New Roman" w:cs="Times New Roman"/>
          <w:b w:val="0"/>
          <w:sz w:val="22"/>
          <w:szCs w:val="22"/>
        </w:rPr>
        <w:t>(Arrêté de promulgation n° 576 DRCL du 12/06/89, JOPF 22/06/89, p. 1082) </w:t>
      </w:r>
      <w:r w:rsidRPr="006F7C42">
        <w:rPr>
          <w:rFonts w:ascii="Times New Roman" w:hAnsi="Times New Roman" w:cs="Times New Roman"/>
          <w:b w:val="0"/>
          <w:w w:val="105"/>
          <w:sz w:val="22"/>
          <w:szCs w:val="22"/>
        </w:rPr>
        <w:t>;</w:t>
      </w:r>
    </w:p>
    <w:p w14:paraId="4A198AAD" w14:textId="77777777" w:rsidR="000819C7" w:rsidRPr="006F7C42" w:rsidRDefault="000819C7" w:rsidP="000819C7">
      <w:pPr>
        <w:pStyle w:val="Titre"/>
        <w:ind w:left="142" w:hanging="142"/>
        <w:jc w:val="both"/>
        <w:rPr>
          <w:rFonts w:ascii="Times New Roman" w:hAnsi="Times New Roman" w:cs="Times New Roman"/>
          <w:b w:val="0"/>
          <w:w w:val="105"/>
          <w:sz w:val="22"/>
          <w:szCs w:val="22"/>
        </w:rPr>
      </w:pPr>
      <w:r>
        <w:rPr>
          <w:rFonts w:ascii="Times New Roman" w:hAnsi="Times New Roman" w:cs="Times New Roman"/>
          <w:b w:val="0"/>
          <w:w w:val="105"/>
          <w:sz w:val="22"/>
          <w:szCs w:val="22"/>
        </w:rPr>
        <w:t xml:space="preserve">- Loi n° 89-1014 du 31/12/89 </w:t>
      </w:r>
      <w:r w:rsidRPr="00766D25">
        <w:rPr>
          <w:rFonts w:ascii="Times New Roman" w:hAnsi="Times New Roman" w:cs="Times New Roman"/>
          <w:b w:val="0"/>
          <w:w w:val="105"/>
          <w:sz w:val="22"/>
          <w:szCs w:val="22"/>
        </w:rPr>
        <w:t>portant adaptation du code des assurances à l'ouverture du marché européen (Arrêté n° 193 DRCL du 21 février 1990 portant promulgation de la dite loi à l'exception de ses articles 24 à 28 et 45)</w:t>
      </w:r>
      <w:r>
        <w:rPr>
          <w:rFonts w:ascii="Times New Roman" w:hAnsi="Times New Roman" w:cs="Times New Roman"/>
          <w:b w:val="0"/>
          <w:w w:val="105"/>
          <w:sz w:val="22"/>
          <w:szCs w:val="22"/>
        </w:rPr>
        <w:t xml:space="preserve"> - </w:t>
      </w:r>
      <w:r w:rsidRPr="00766D25">
        <w:rPr>
          <w:rFonts w:ascii="Times New Roman" w:hAnsi="Times New Roman" w:cs="Times New Roman"/>
          <w:b w:val="0"/>
          <w:w w:val="105"/>
          <w:sz w:val="22"/>
          <w:szCs w:val="22"/>
        </w:rPr>
        <w:t xml:space="preserve">Conseil d’Etat n°145397 </w:t>
      </w:r>
      <w:r>
        <w:rPr>
          <w:rFonts w:ascii="Times New Roman" w:hAnsi="Times New Roman" w:cs="Times New Roman"/>
          <w:b w:val="0"/>
          <w:w w:val="105"/>
          <w:sz w:val="22"/>
          <w:szCs w:val="22"/>
        </w:rPr>
        <w:t xml:space="preserve">et </w:t>
      </w:r>
      <w:r w:rsidRPr="00766D25">
        <w:rPr>
          <w:rFonts w:ascii="Times New Roman" w:hAnsi="Times New Roman" w:cs="Times New Roman"/>
          <w:b w:val="0"/>
          <w:w w:val="105"/>
          <w:sz w:val="22"/>
          <w:szCs w:val="22"/>
        </w:rPr>
        <w:t>145765 du 19 juin 1996)</w:t>
      </w:r>
      <w:r>
        <w:rPr>
          <w:rFonts w:ascii="Times New Roman" w:hAnsi="Times New Roman" w:cs="Times New Roman"/>
          <w:b w:val="0"/>
          <w:w w:val="105"/>
          <w:sz w:val="22"/>
          <w:szCs w:val="22"/>
        </w:rPr>
        <w:t> ;</w:t>
      </w:r>
    </w:p>
    <w:p w14:paraId="50E9E96F" w14:textId="77777777" w:rsidR="000819C7" w:rsidRPr="006F7C42" w:rsidRDefault="000819C7" w:rsidP="000819C7">
      <w:pPr>
        <w:pStyle w:val="Titre"/>
        <w:ind w:left="142" w:hanging="142"/>
        <w:jc w:val="both"/>
        <w:rPr>
          <w:rFonts w:ascii="Times New Roman" w:hAnsi="Times New Roman" w:cs="Times New Roman"/>
          <w:b w:val="0"/>
          <w:sz w:val="22"/>
          <w:szCs w:val="22"/>
        </w:rPr>
      </w:pPr>
      <w:r w:rsidRPr="006F7C42">
        <w:rPr>
          <w:rFonts w:ascii="Times New Roman" w:hAnsi="Times New Roman" w:cs="Times New Roman"/>
          <w:b w:val="0"/>
          <w:w w:val="105"/>
          <w:sz w:val="22"/>
          <w:szCs w:val="22"/>
        </w:rPr>
        <w:t xml:space="preserve">- </w:t>
      </w:r>
      <w:r w:rsidRPr="006F7C42">
        <w:rPr>
          <w:rFonts w:ascii="Times New Roman" w:hAnsi="Times New Roman" w:cs="Times New Roman"/>
          <w:b w:val="0"/>
          <w:spacing w:val="6"/>
          <w:sz w:val="22"/>
          <w:szCs w:val="22"/>
        </w:rPr>
        <w:t>D</w:t>
      </w:r>
      <w:r w:rsidRPr="006F7C42">
        <w:rPr>
          <w:rFonts w:ascii="Times New Roman" w:hAnsi="Times New Roman" w:cs="Times New Roman"/>
          <w:b w:val="0"/>
          <w:sz w:val="22"/>
          <w:szCs w:val="22"/>
        </w:rPr>
        <w:t>éc</w:t>
      </w:r>
      <w:r w:rsidRPr="006F7C42">
        <w:rPr>
          <w:rFonts w:ascii="Times New Roman" w:hAnsi="Times New Roman" w:cs="Times New Roman"/>
          <w:b w:val="0"/>
          <w:spacing w:val="6"/>
          <w:sz w:val="22"/>
          <w:szCs w:val="22"/>
        </w:rPr>
        <w:t>r</w:t>
      </w:r>
      <w:r w:rsidRPr="006F7C42">
        <w:rPr>
          <w:rFonts w:ascii="Times New Roman" w:hAnsi="Times New Roman" w:cs="Times New Roman"/>
          <w:b w:val="0"/>
          <w:sz w:val="22"/>
          <w:szCs w:val="22"/>
        </w:rPr>
        <w:t>et</w:t>
      </w:r>
      <w:r w:rsidRPr="006F7C42">
        <w:rPr>
          <w:rFonts w:ascii="Times New Roman" w:hAnsi="Times New Roman" w:cs="Times New Roman"/>
          <w:b w:val="0"/>
          <w:spacing w:val="15"/>
          <w:sz w:val="22"/>
          <w:szCs w:val="22"/>
        </w:rPr>
        <w:t xml:space="preserve"> </w:t>
      </w:r>
      <w:r w:rsidRPr="006F7C42">
        <w:rPr>
          <w:rFonts w:ascii="Times New Roman" w:hAnsi="Times New Roman" w:cs="Times New Roman"/>
          <w:b w:val="0"/>
          <w:sz w:val="22"/>
          <w:szCs w:val="22"/>
        </w:rPr>
        <w:t>n°</w:t>
      </w:r>
      <w:r w:rsidRPr="006F7C42">
        <w:rPr>
          <w:rFonts w:ascii="Times New Roman" w:hAnsi="Times New Roman" w:cs="Times New Roman"/>
          <w:b w:val="0"/>
          <w:spacing w:val="10"/>
          <w:sz w:val="22"/>
          <w:szCs w:val="22"/>
        </w:rPr>
        <w:t xml:space="preserve"> </w:t>
      </w:r>
      <w:r w:rsidRPr="006F7C42">
        <w:rPr>
          <w:rFonts w:ascii="Times New Roman" w:hAnsi="Times New Roman" w:cs="Times New Roman"/>
          <w:b w:val="0"/>
          <w:sz w:val="22"/>
          <w:szCs w:val="22"/>
        </w:rPr>
        <w:t>9</w:t>
      </w:r>
      <w:r w:rsidRPr="006F7C42">
        <w:rPr>
          <w:rFonts w:ascii="Times New Roman" w:hAnsi="Times New Roman" w:cs="Times New Roman"/>
          <w:b w:val="0"/>
          <w:spacing w:val="1"/>
          <w:sz w:val="22"/>
          <w:szCs w:val="22"/>
        </w:rPr>
        <w:t>0</w:t>
      </w:r>
      <w:r w:rsidRPr="006F7C42">
        <w:rPr>
          <w:rFonts w:ascii="Times New Roman" w:hAnsi="Times New Roman" w:cs="Times New Roman"/>
          <w:b w:val="0"/>
          <w:sz w:val="22"/>
          <w:szCs w:val="22"/>
        </w:rPr>
        <w:t>-697</w:t>
      </w:r>
      <w:r w:rsidRPr="006F7C42">
        <w:rPr>
          <w:rFonts w:ascii="Times New Roman" w:hAnsi="Times New Roman" w:cs="Times New Roman"/>
          <w:b w:val="0"/>
          <w:spacing w:val="6"/>
          <w:sz w:val="22"/>
          <w:szCs w:val="22"/>
        </w:rPr>
        <w:t xml:space="preserve"> </w:t>
      </w:r>
      <w:r w:rsidRPr="006F7C42">
        <w:rPr>
          <w:rFonts w:ascii="Times New Roman" w:hAnsi="Times New Roman" w:cs="Times New Roman"/>
          <w:b w:val="0"/>
          <w:sz w:val="22"/>
          <w:szCs w:val="22"/>
        </w:rPr>
        <w:t>du</w:t>
      </w:r>
      <w:r w:rsidRPr="006F7C42">
        <w:rPr>
          <w:rFonts w:ascii="Times New Roman" w:hAnsi="Times New Roman" w:cs="Times New Roman"/>
          <w:b w:val="0"/>
          <w:spacing w:val="40"/>
          <w:sz w:val="22"/>
          <w:szCs w:val="22"/>
        </w:rPr>
        <w:t xml:space="preserve"> </w:t>
      </w:r>
      <w:r w:rsidRPr="006F7C42">
        <w:rPr>
          <w:rFonts w:ascii="Times New Roman" w:hAnsi="Times New Roman" w:cs="Times New Roman"/>
          <w:b w:val="0"/>
          <w:spacing w:val="-33"/>
          <w:sz w:val="22"/>
          <w:szCs w:val="22"/>
        </w:rPr>
        <w:t>1/</w:t>
      </w:r>
      <w:r w:rsidRPr="006F7C42">
        <w:rPr>
          <w:rFonts w:ascii="Times New Roman" w:hAnsi="Times New Roman" w:cs="Times New Roman"/>
          <w:b w:val="0"/>
          <w:sz w:val="22"/>
          <w:szCs w:val="22"/>
        </w:rPr>
        <w:t>0</w:t>
      </w:r>
      <w:r w:rsidRPr="006F7C42">
        <w:rPr>
          <w:rFonts w:ascii="Times New Roman" w:hAnsi="Times New Roman" w:cs="Times New Roman"/>
          <w:b w:val="0"/>
          <w:spacing w:val="-7"/>
          <w:sz w:val="22"/>
          <w:szCs w:val="22"/>
        </w:rPr>
        <w:t>8</w:t>
      </w:r>
      <w:r w:rsidRPr="006F7C42">
        <w:rPr>
          <w:rFonts w:ascii="Times New Roman" w:hAnsi="Times New Roman" w:cs="Times New Roman"/>
          <w:b w:val="0"/>
          <w:spacing w:val="11"/>
          <w:sz w:val="22"/>
          <w:szCs w:val="22"/>
        </w:rPr>
        <w:t>/</w:t>
      </w:r>
      <w:r w:rsidRPr="006F7C42">
        <w:rPr>
          <w:rFonts w:ascii="Times New Roman" w:hAnsi="Times New Roman" w:cs="Times New Roman"/>
          <w:b w:val="0"/>
          <w:sz w:val="22"/>
          <w:szCs w:val="22"/>
        </w:rPr>
        <w:t>90</w:t>
      </w:r>
      <w:r w:rsidRPr="006F7C42">
        <w:rPr>
          <w:rFonts w:ascii="Times New Roman" w:hAnsi="Times New Roman" w:cs="Times New Roman"/>
          <w:b w:val="0"/>
          <w:spacing w:val="11"/>
          <w:sz w:val="22"/>
          <w:szCs w:val="22"/>
        </w:rPr>
        <w:t xml:space="preserve"> </w:t>
      </w:r>
      <w:r w:rsidRPr="006F7C42">
        <w:rPr>
          <w:rFonts w:ascii="Times New Roman" w:hAnsi="Times New Roman" w:cs="Times New Roman"/>
          <w:b w:val="0"/>
          <w:sz w:val="22"/>
          <w:szCs w:val="22"/>
        </w:rPr>
        <w:t>relatif</w:t>
      </w:r>
      <w:r w:rsidRPr="006F7C42">
        <w:rPr>
          <w:rFonts w:ascii="Times New Roman" w:hAnsi="Times New Roman" w:cs="Times New Roman"/>
          <w:b w:val="0"/>
          <w:spacing w:val="17"/>
          <w:sz w:val="22"/>
          <w:szCs w:val="22"/>
        </w:rPr>
        <w:t xml:space="preserve"> </w:t>
      </w:r>
      <w:r w:rsidRPr="006F7C42">
        <w:rPr>
          <w:rFonts w:ascii="Times New Roman" w:hAnsi="Times New Roman" w:cs="Times New Roman"/>
          <w:b w:val="0"/>
          <w:sz w:val="22"/>
          <w:szCs w:val="22"/>
        </w:rPr>
        <w:t>à</w:t>
      </w:r>
      <w:r w:rsidRPr="006F7C42">
        <w:rPr>
          <w:rFonts w:ascii="Times New Roman" w:hAnsi="Times New Roman" w:cs="Times New Roman"/>
          <w:b w:val="0"/>
          <w:spacing w:val="12"/>
          <w:sz w:val="22"/>
          <w:szCs w:val="22"/>
        </w:rPr>
        <w:t xml:space="preserve"> </w:t>
      </w:r>
      <w:r w:rsidRPr="006F7C42">
        <w:rPr>
          <w:rFonts w:ascii="Times New Roman" w:hAnsi="Times New Roman" w:cs="Times New Roman"/>
          <w:b w:val="0"/>
          <w:sz w:val="22"/>
          <w:szCs w:val="22"/>
        </w:rPr>
        <w:t>l'assurance</w:t>
      </w:r>
      <w:r w:rsidRPr="006F7C42">
        <w:rPr>
          <w:rFonts w:ascii="Times New Roman" w:hAnsi="Times New Roman" w:cs="Times New Roman"/>
          <w:b w:val="0"/>
          <w:spacing w:val="24"/>
          <w:sz w:val="22"/>
          <w:szCs w:val="22"/>
        </w:rPr>
        <w:t xml:space="preserve"> </w:t>
      </w:r>
      <w:r w:rsidRPr="006F7C42">
        <w:rPr>
          <w:rFonts w:ascii="Times New Roman" w:hAnsi="Times New Roman" w:cs="Times New Roman"/>
          <w:b w:val="0"/>
          <w:sz w:val="22"/>
          <w:szCs w:val="22"/>
        </w:rPr>
        <w:t>de</w:t>
      </w:r>
      <w:r w:rsidRPr="006F7C42">
        <w:rPr>
          <w:rFonts w:ascii="Times New Roman" w:hAnsi="Times New Roman" w:cs="Times New Roman"/>
          <w:b w:val="0"/>
          <w:spacing w:val="9"/>
          <w:sz w:val="22"/>
          <w:szCs w:val="22"/>
        </w:rPr>
        <w:t xml:space="preserve"> </w:t>
      </w:r>
      <w:r w:rsidRPr="006F7C42">
        <w:rPr>
          <w:rFonts w:ascii="Times New Roman" w:hAnsi="Times New Roman" w:cs="Times New Roman"/>
          <w:b w:val="0"/>
          <w:sz w:val="22"/>
          <w:szCs w:val="22"/>
        </w:rPr>
        <w:t>protection</w:t>
      </w:r>
      <w:r w:rsidRPr="006F7C42">
        <w:rPr>
          <w:rFonts w:ascii="Times New Roman" w:hAnsi="Times New Roman" w:cs="Times New Roman"/>
          <w:b w:val="0"/>
          <w:spacing w:val="15"/>
          <w:sz w:val="22"/>
          <w:szCs w:val="22"/>
        </w:rPr>
        <w:t xml:space="preserve"> </w:t>
      </w:r>
      <w:r w:rsidRPr="006F7C42">
        <w:rPr>
          <w:rFonts w:ascii="Times New Roman" w:hAnsi="Times New Roman" w:cs="Times New Roman"/>
          <w:b w:val="0"/>
          <w:sz w:val="22"/>
          <w:szCs w:val="22"/>
        </w:rPr>
        <w:t>juridique (Arrêté de promulgation n° 1007 DRCL du 1/10/90 ; JOPF 11/10/90, p. 1601) ;</w:t>
      </w:r>
    </w:p>
    <w:p w14:paraId="38AD3851" w14:textId="77777777" w:rsidR="000819C7" w:rsidRPr="006F7C42" w:rsidRDefault="000819C7" w:rsidP="000819C7">
      <w:pPr>
        <w:pStyle w:val="Titre"/>
        <w:ind w:left="142" w:hanging="142"/>
        <w:jc w:val="both"/>
        <w:rPr>
          <w:rFonts w:ascii="Times New Roman" w:hAnsi="Times New Roman" w:cs="Times New Roman"/>
          <w:b w:val="0"/>
          <w:sz w:val="22"/>
          <w:szCs w:val="22"/>
        </w:rPr>
      </w:pPr>
      <w:r w:rsidRPr="006F7C42">
        <w:rPr>
          <w:rFonts w:ascii="Times New Roman" w:hAnsi="Times New Roman" w:cs="Times New Roman"/>
          <w:b w:val="0"/>
          <w:i/>
          <w:sz w:val="22"/>
          <w:szCs w:val="22"/>
        </w:rPr>
        <w:t xml:space="preserve">- </w:t>
      </w:r>
      <w:r w:rsidRPr="006F7C42">
        <w:rPr>
          <w:rFonts w:ascii="Times New Roman" w:hAnsi="Times New Roman" w:cs="Times New Roman"/>
          <w:b w:val="0"/>
          <w:spacing w:val="5"/>
          <w:sz w:val="22"/>
          <w:szCs w:val="22"/>
        </w:rPr>
        <w:t>D</w:t>
      </w:r>
      <w:r w:rsidRPr="006F7C42">
        <w:rPr>
          <w:rFonts w:ascii="Times New Roman" w:hAnsi="Times New Roman" w:cs="Times New Roman"/>
          <w:b w:val="0"/>
          <w:sz w:val="22"/>
          <w:szCs w:val="22"/>
        </w:rPr>
        <w:t>é</w:t>
      </w:r>
      <w:r w:rsidRPr="006F7C42">
        <w:rPr>
          <w:rFonts w:ascii="Times New Roman" w:hAnsi="Times New Roman" w:cs="Times New Roman"/>
          <w:b w:val="0"/>
          <w:spacing w:val="7"/>
          <w:sz w:val="22"/>
          <w:szCs w:val="22"/>
        </w:rPr>
        <w:t>c</w:t>
      </w:r>
      <w:r w:rsidRPr="006F7C42">
        <w:rPr>
          <w:rFonts w:ascii="Times New Roman" w:hAnsi="Times New Roman" w:cs="Times New Roman"/>
          <w:b w:val="0"/>
          <w:sz w:val="22"/>
          <w:szCs w:val="22"/>
        </w:rPr>
        <w:t>ret</w:t>
      </w:r>
      <w:r w:rsidRPr="006F7C42">
        <w:rPr>
          <w:rFonts w:ascii="Times New Roman" w:hAnsi="Times New Roman" w:cs="Times New Roman"/>
          <w:b w:val="0"/>
          <w:spacing w:val="31"/>
          <w:sz w:val="22"/>
          <w:szCs w:val="22"/>
        </w:rPr>
        <w:t xml:space="preserve"> </w:t>
      </w:r>
      <w:r w:rsidRPr="006F7C42">
        <w:rPr>
          <w:rFonts w:ascii="Times New Roman" w:hAnsi="Times New Roman" w:cs="Times New Roman"/>
          <w:b w:val="0"/>
          <w:sz w:val="22"/>
          <w:szCs w:val="22"/>
        </w:rPr>
        <w:t>n°</w:t>
      </w:r>
      <w:r w:rsidRPr="006F7C42">
        <w:rPr>
          <w:rFonts w:ascii="Times New Roman" w:hAnsi="Times New Roman" w:cs="Times New Roman"/>
          <w:b w:val="0"/>
          <w:spacing w:val="18"/>
          <w:sz w:val="22"/>
          <w:szCs w:val="22"/>
        </w:rPr>
        <w:t xml:space="preserve"> </w:t>
      </w:r>
      <w:r w:rsidRPr="006F7C42">
        <w:rPr>
          <w:rFonts w:ascii="Times New Roman" w:hAnsi="Times New Roman" w:cs="Times New Roman"/>
          <w:b w:val="0"/>
          <w:sz w:val="22"/>
          <w:szCs w:val="22"/>
        </w:rPr>
        <w:t>9</w:t>
      </w:r>
      <w:r w:rsidRPr="006F7C42">
        <w:rPr>
          <w:rFonts w:ascii="Times New Roman" w:hAnsi="Times New Roman" w:cs="Times New Roman"/>
          <w:b w:val="0"/>
          <w:spacing w:val="1"/>
          <w:sz w:val="22"/>
          <w:szCs w:val="22"/>
        </w:rPr>
        <w:t>0-</w:t>
      </w:r>
      <w:r w:rsidRPr="006F7C42">
        <w:rPr>
          <w:rFonts w:ascii="Times New Roman" w:hAnsi="Times New Roman" w:cs="Times New Roman"/>
          <w:b w:val="0"/>
          <w:spacing w:val="9"/>
          <w:sz w:val="22"/>
          <w:szCs w:val="22"/>
        </w:rPr>
        <w:t>8</w:t>
      </w:r>
      <w:r w:rsidRPr="006F7C42">
        <w:rPr>
          <w:rFonts w:ascii="Times New Roman" w:hAnsi="Times New Roman" w:cs="Times New Roman"/>
          <w:b w:val="0"/>
          <w:spacing w:val="1"/>
          <w:sz w:val="22"/>
          <w:szCs w:val="22"/>
        </w:rPr>
        <w:t>1</w:t>
      </w:r>
      <w:r w:rsidRPr="006F7C42">
        <w:rPr>
          <w:rFonts w:ascii="Times New Roman" w:hAnsi="Times New Roman" w:cs="Times New Roman"/>
          <w:b w:val="0"/>
          <w:sz w:val="22"/>
          <w:szCs w:val="22"/>
        </w:rPr>
        <w:t>5</w:t>
      </w:r>
      <w:r w:rsidRPr="006F7C42">
        <w:rPr>
          <w:rFonts w:ascii="Times New Roman" w:hAnsi="Times New Roman" w:cs="Times New Roman"/>
          <w:b w:val="0"/>
          <w:spacing w:val="11"/>
          <w:sz w:val="22"/>
          <w:szCs w:val="22"/>
        </w:rPr>
        <w:t xml:space="preserve"> </w:t>
      </w:r>
      <w:r w:rsidRPr="006F7C42">
        <w:rPr>
          <w:rFonts w:ascii="Times New Roman" w:hAnsi="Times New Roman" w:cs="Times New Roman"/>
          <w:b w:val="0"/>
          <w:sz w:val="22"/>
          <w:szCs w:val="22"/>
        </w:rPr>
        <w:t>du</w:t>
      </w:r>
      <w:r>
        <w:rPr>
          <w:rFonts w:ascii="Times New Roman" w:hAnsi="Times New Roman" w:cs="Times New Roman"/>
          <w:b w:val="0"/>
          <w:spacing w:val="3"/>
          <w:sz w:val="22"/>
          <w:szCs w:val="22"/>
        </w:rPr>
        <w:t xml:space="preserve"> </w:t>
      </w:r>
      <w:r w:rsidRPr="006F7C42">
        <w:rPr>
          <w:rFonts w:ascii="Times New Roman" w:hAnsi="Times New Roman" w:cs="Times New Roman"/>
          <w:b w:val="0"/>
          <w:sz w:val="22"/>
          <w:szCs w:val="22"/>
        </w:rPr>
        <w:t>1</w:t>
      </w:r>
      <w:r w:rsidRPr="006F7C42">
        <w:rPr>
          <w:rFonts w:ascii="Times New Roman" w:hAnsi="Times New Roman" w:cs="Times New Roman"/>
          <w:b w:val="0"/>
          <w:spacing w:val="-19"/>
          <w:sz w:val="22"/>
          <w:szCs w:val="22"/>
        </w:rPr>
        <w:t>4</w:t>
      </w:r>
      <w:r w:rsidRPr="006F7C42">
        <w:rPr>
          <w:rFonts w:ascii="Times New Roman" w:hAnsi="Times New Roman" w:cs="Times New Roman"/>
          <w:b w:val="0"/>
          <w:sz w:val="22"/>
          <w:szCs w:val="22"/>
        </w:rPr>
        <w:t>/09</w:t>
      </w:r>
      <w:r w:rsidRPr="006F7C42">
        <w:rPr>
          <w:rFonts w:ascii="Times New Roman" w:hAnsi="Times New Roman" w:cs="Times New Roman"/>
          <w:b w:val="0"/>
          <w:spacing w:val="5"/>
          <w:sz w:val="22"/>
          <w:szCs w:val="22"/>
        </w:rPr>
        <w:t>/</w:t>
      </w:r>
      <w:r w:rsidRPr="006F7C42">
        <w:rPr>
          <w:rFonts w:ascii="Times New Roman" w:hAnsi="Times New Roman" w:cs="Times New Roman"/>
          <w:b w:val="0"/>
          <w:spacing w:val="4"/>
          <w:sz w:val="22"/>
          <w:szCs w:val="22"/>
        </w:rPr>
        <w:t>9</w:t>
      </w:r>
      <w:r w:rsidRPr="006F7C42">
        <w:rPr>
          <w:rFonts w:ascii="Times New Roman" w:hAnsi="Times New Roman" w:cs="Times New Roman"/>
          <w:b w:val="0"/>
          <w:sz w:val="22"/>
          <w:szCs w:val="22"/>
        </w:rPr>
        <w:t>0</w:t>
      </w:r>
      <w:r w:rsidRPr="006F7C42">
        <w:rPr>
          <w:rFonts w:ascii="Times New Roman" w:hAnsi="Times New Roman" w:cs="Times New Roman"/>
          <w:b w:val="0"/>
          <w:spacing w:val="17"/>
          <w:sz w:val="22"/>
          <w:szCs w:val="22"/>
        </w:rPr>
        <w:t xml:space="preserve"> </w:t>
      </w:r>
      <w:r w:rsidRPr="006F7C42">
        <w:rPr>
          <w:rFonts w:ascii="Times New Roman" w:hAnsi="Times New Roman" w:cs="Times New Roman"/>
          <w:b w:val="0"/>
          <w:sz w:val="22"/>
          <w:szCs w:val="22"/>
        </w:rPr>
        <w:t>relat</w:t>
      </w:r>
      <w:r w:rsidRPr="006F7C42">
        <w:rPr>
          <w:rFonts w:ascii="Times New Roman" w:hAnsi="Times New Roman" w:cs="Times New Roman"/>
          <w:b w:val="0"/>
          <w:spacing w:val="15"/>
          <w:sz w:val="22"/>
          <w:szCs w:val="22"/>
        </w:rPr>
        <w:t>i</w:t>
      </w:r>
      <w:r w:rsidRPr="006F7C42">
        <w:rPr>
          <w:rFonts w:ascii="Times New Roman" w:hAnsi="Times New Roman" w:cs="Times New Roman"/>
          <w:b w:val="0"/>
          <w:sz w:val="22"/>
          <w:szCs w:val="22"/>
        </w:rPr>
        <w:t>f</w:t>
      </w:r>
      <w:r w:rsidRPr="006F7C42">
        <w:rPr>
          <w:rFonts w:ascii="Times New Roman" w:hAnsi="Times New Roman" w:cs="Times New Roman"/>
          <w:b w:val="0"/>
          <w:spacing w:val="11"/>
          <w:sz w:val="22"/>
          <w:szCs w:val="22"/>
        </w:rPr>
        <w:t xml:space="preserve"> </w:t>
      </w:r>
      <w:r w:rsidRPr="006F7C42">
        <w:rPr>
          <w:rFonts w:ascii="Times New Roman" w:hAnsi="Times New Roman" w:cs="Times New Roman"/>
          <w:b w:val="0"/>
          <w:sz w:val="22"/>
          <w:szCs w:val="22"/>
        </w:rPr>
        <w:t>à</w:t>
      </w:r>
      <w:r w:rsidRPr="006F7C42">
        <w:rPr>
          <w:rFonts w:ascii="Times New Roman" w:hAnsi="Times New Roman" w:cs="Times New Roman"/>
          <w:b w:val="0"/>
          <w:spacing w:val="20"/>
          <w:sz w:val="22"/>
          <w:szCs w:val="22"/>
        </w:rPr>
        <w:t xml:space="preserve"> </w:t>
      </w:r>
      <w:r w:rsidRPr="006F7C42">
        <w:rPr>
          <w:rFonts w:ascii="Times New Roman" w:hAnsi="Times New Roman" w:cs="Times New Roman"/>
          <w:b w:val="0"/>
          <w:sz w:val="22"/>
          <w:szCs w:val="22"/>
        </w:rPr>
        <w:t>l'agrément</w:t>
      </w:r>
      <w:r w:rsidRPr="006F7C42">
        <w:rPr>
          <w:rFonts w:ascii="Times New Roman" w:hAnsi="Times New Roman" w:cs="Times New Roman"/>
          <w:b w:val="0"/>
          <w:spacing w:val="35"/>
          <w:sz w:val="22"/>
          <w:szCs w:val="22"/>
        </w:rPr>
        <w:t xml:space="preserve"> </w:t>
      </w:r>
      <w:r w:rsidRPr="006F7C42">
        <w:rPr>
          <w:rFonts w:ascii="Times New Roman" w:hAnsi="Times New Roman" w:cs="Times New Roman"/>
          <w:b w:val="0"/>
          <w:sz w:val="22"/>
          <w:szCs w:val="22"/>
        </w:rPr>
        <w:t>admini</w:t>
      </w:r>
      <w:r w:rsidRPr="006F7C42">
        <w:rPr>
          <w:rFonts w:ascii="Times New Roman" w:hAnsi="Times New Roman" w:cs="Times New Roman"/>
          <w:b w:val="0"/>
          <w:spacing w:val="-13"/>
          <w:sz w:val="22"/>
          <w:szCs w:val="22"/>
        </w:rPr>
        <w:t>s</w:t>
      </w:r>
      <w:r w:rsidRPr="006F7C42">
        <w:rPr>
          <w:rFonts w:ascii="Times New Roman" w:hAnsi="Times New Roman" w:cs="Times New Roman"/>
          <w:b w:val="0"/>
          <w:sz w:val="22"/>
          <w:szCs w:val="22"/>
        </w:rPr>
        <w:t>tratif</w:t>
      </w:r>
      <w:r w:rsidRPr="006F7C42">
        <w:rPr>
          <w:rFonts w:ascii="Times New Roman" w:hAnsi="Times New Roman" w:cs="Times New Roman"/>
          <w:b w:val="0"/>
          <w:spacing w:val="26"/>
          <w:sz w:val="22"/>
          <w:szCs w:val="22"/>
        </w:rPr>
        <w:t xml:space="preserve"> </w:t>
      </w:r>
      <w:r w:rsidRPr="006F7C42">
        <w:rPr>
          <w:rFonts w:ascii="Times New Roman" w:hAnsi="Times New Roman" w:cs="Times New Roman"/>
          <w:b w:val="0"/>
          <w:sz w:val="22"/>
          <w:szCs w:val="22"/>
        </w:rPr>
        <w:t>des</w:t>
      </w:r>
      <w:r w:rsidRPr="006F7C42">
        <w:rPr>
          <w:rFonts w:ascii="Times New Roman" w:hAnsi="Times New Roman" w:cs="Times New Roman"/>
          <w:b w:val="0"/>
          <w:spacing w:val="11"/>
          <w:sz w:val="22"/>
          <w:szCs w:val="22"/>
        </w:rPr>
        <w:t xml:space="preserve"> </w:t>
      </w:r>
      <w:r w:rsidRPr="006F7C42">
        <w:rPr>
          <w:rFonts w:ascii="Times New Roman" w:hAnsi="Times New Roman" w:cs="Times New Roman"/>
          <w:b w:val="0"/>
          <w:sz w:val="22"/>
          <w:szCs w:val="22"/>
        </w:rPr>
        <w:t>entrepr</w:t>
      </w:r>
      <w:r w:rsidRPr="006F7C42">
        <w:rPr>
          <w:rFonts w:ascii="Times New Roman" w:hAnsi="Times New Roman" w:cs="Times New Roman"/>
          <w:b w:val="0"/>
          <w:spacing w:val="15"/>
          <w:sz w:val="22"/>
          <w:szCs w:val="22"/>
        </w:rPr>
        <w:t>i</w:t>
      </w:r>
      <w:r w:rsidRPr="006F7C42">
        <w:rPr>
          <w:rFonts w:ascii="Times New Roman" w:hAnsi="Times New Roman" w:cs="Times New Roman"/>
          <w:b w:val="0"/>
          <w:spacing w:val="-3"/>
          <w:sz w:val="22"/>
          <w:szCs w:val="22"/>
        </w:rPr>
        <w:t>s</w:t>
      </w:r>
      <w:r w:rsidRPr="006F7C42">
        <w:rPr>
          <w:rFonts w:ascii="Times New Roman" w:hAnsi="Times New Roman" w:cs="Times New Roman"/>
          <w:b w:val="0"/>
          <w:sz w:val="22"/>
          <w:szCs w:val="22"/>
        </w:rPr>
        <w:t>es</w:t>
      </w:r>
      <w:r w:rsidRPr="006F7C42">
        <w:rPr>
          <w:rFonts w:ascii="Times New Roman" w:hAnsi="Times New Roman" w:cs="Times New Roman"/>
          <w:b w:val="0"/>
          <w:spacing w:val="13"/>
          <w:sz w:val="22"/>
          <w:szCs w:val="22"/>
        </w:rPr>
        <w:t xml:space="preserve"> </w:t>
      </w:r>
      <w:r w:rsidRPr="006F7C42">
        <w:rPr>
          <w:rFonts w:ascii="Times New Roman" w:hAnsi="Times New Roman" w:cs="Times New Roman"/>
          <w:b w:val="0"/>
          <w:sz w:val="22"/>
          <w:szCs w:val="22"/>
        </w:rPr>
        <w:t>d'</w:t>
      </w:r>
      <w:r w:rsidRPr="006F7C42">
        <w:rPr>
          <w:rFonts w:ascii="Times New Roman" w:hAnsi="Times New Roman" w:cs="Times New Roman"/>
          <w:b w:val="0"/>
          <w:spacing w:val="7"/>
          <w:sz w:val="22"/>
          <w:szCs w:val="22"/>
        </w:rPr>
        <w:t>a</w:t>
      </w:r>
      <w:r w:rsidRPr="006F7C42">
        <w:rPr>
          <w:rFonts w:ascii="Times New Roman" w:hAnsi="Times New Roman" w:cs="Times New Roman"/>
          <w:b w:val="0"/>
          <w:spacing w:val="-3"/>
          <w:sz w:val="22"/>
          <w:szCs w:val="22"/>
        </w:rPr>
        <w:t>s</w:t>
      </w:r>
      <w:r w:rsidRPr="006F7C42">
        <w:rPr>
          <w:rFonts w:ascii="Times New Roman" w:hAnsi="Times New Roman" w:cs="Times New Roman"/>
          <w:b w:val="0"/>
          <w:sz w:val="22"/>
          <w:szCs w:val="22"/>
        </w:rPr>
        <w:t>surance (Arrêté de promulgation n° 1312 DRCL du 27/1/90 ; JOPF 20/12/90, p. 1930) ;</w:t>
      </w:r>
    </w:p>
    <w:p w14:paraId="685651F7" w14:textId="77777777" w:rsidR="000819C7" w:rsidRPr="006F7C42" w:rsidRDefault="000819C7" w:rsidP="000819C7">
      <w:pPr>
        <w:pStyle w:val="Titre"/>
        <w:ind w:left="142" w:hanging="142"/>
        <w:jc w:val="both"/>
        <w:rPr>
          <w:rFonts w:ascii="Times New Roman" w:hAnsi="Times New Roman" w:cs="Times New Roman"/>
          <w:b w:val="0"/>
          <w:sz w:val="22"/>
          <w:szCs w:val="22"/>
        </w:rPr>
      </w:pPr>
      <w:r w:rsidRPr="006F7C42">
        <w:rPr>
          <w:rFonts w:ascii="Times New Roman" w:hAnsi="Times New Roman" w:cs="Times New Roman"/>
          <w:b w:val="0"/>
          <w:i/>
          <w:sz w:val="22"/>
          <w:szCs w:val="22"/>
        </w:rPr>
        <w:t xml:space="preserve">- </w:t>
      </w:r>
      <w:r w:rsidRPr="006F7C42">
        <w:rPr>
          <w:rFonts w:ascii="Times New Roman" w:hAnsi="Times New Roman" w:cs="Times New Roman"/>
          <w:b w:val="0"/>
          <w:spacing w:val="6"/>
          <w:sz w:val="22"/>
          <w:szCs w:val="22"/>
        </w:rPr>
        <w:t>D</w:t>
      </w:r>
      <w:r w:rsidRPr="006F7C42">
        <w:rPr>
          <w:rFonts w:ascii="Times New Roman" w:hAnsi="Times New Roman" w:cs="Times New Roman"/>
          <w:b w:val="0"/>
          <w:sz w:val="22"/>
          <w:szCs w:val="22"/>
        </w:rPr>
        <w:t>é</w:t>
      </w:r>
      <w:r w:rsidRPr="006F7C42">
        <w:rPr>
          <w:rFonts w:ascii="Times New Roman" w:hAnsi="Times New Roman" w:cs="Times New Roman"/>
          <w:b w:val="0"/>
          <w:spacing w:val="2"/>
          <w:sz w:val="22"/>
          <w:szCs w:val="22"/>
        </w:rPr>
        <w:t>c</w:t>
      </w:r>
      <w:r w:rsidRPr="006F7C42">
        <w:rPr>
          <w:rFonts w:ascii="Times New Roman" w:hAnsi="Times New Roman" w:cs="Times New Roman"/>
          <w:b w:val="0"/>
          <w:sz w:val="22"/>
          <w:szCs w:val="22"/>
        </w:rPr>
        <w:t>r</w:t>
      </w:r>
      <w:r w:rsidRPr="006F7C42">
        <w:rPr>
          <w:rFonts w:ascii="Times New Roman" w:hAnsi="Times New Roman" w:cs="Times New Roman"/>
          <w:b w:val="0"/>
          <w:spacing w:val="4"/>
          <w:sz w:val="22"/>
          <w:szCs w:val="22"/>
        </w:rPr>
        <w:t>e</w:t>
      </w:r>
      <w:r w:rsidRPr="006F7C42">
        <w:rPr>
          <w:rFonts w:ascii="Times New Roman" w:hAnsi="Times New Roman" w:cs="Times New Roman"/>
          <w:b w:val="0"/>
          <w:sz w:val="22"/>
          <w:szCs w:val="22"/>
        </w:rPr>
        <w:t>t</w:t>
      </w:r>
      <w:r w:rsidRPr="006F7C42">
        <w:rPr>
          <w:rFonts w:ascii="Times New Roman" w:hAnsi="Times New Roman" w:cs="Times New Roman"/>
          <w:b w:val="0"/>
          <w:spacing w:val="12"/>
          <w:sz w:val="22"/>
          <w:szCs w:val="22"/>
        </w:rPr>
        <w:t xml:space="preserve"> </w:t>
      </w:r>
      <w:r w:rsidRPr="006F7C42">
        <w:rPr>
          <w:rFonts w:ascii="Times New Roman" w:hAnsi="Times New Roman" w:cs="Times New Roman"/>
          <w:b w:val="0"/>
          <w:sz w:val="22"/>
          <w:szCs w:val="22"/>
        </w:rPr>
        <w:t>n°</w:t>
      </w:r>
      <w:r w:rsidRPr="006F7C42">
        <w:rPr>
          <w:rFonts w:ascii="Times New Roman" w:hAnsi="Times New Roman" w:cs="Times New Roman"/>
          <w:b w:val="0"/>
          <w:spacing w:val="-8"/>
          <w:sz w:val="22"/>
          <w:szCs w:val="22"/>
        </w:rPr>
        <w:t xml:space="preserve"> </w:t>
      </w:r>
      <w:r w:rsidRPr="006F7C42">
        <w:rPr>
          <w:rFonts w:ascii="Times New Roman" w:hAnsi="Times New Roman" w:cs="Times New Roman"/>
          <w:b w:val="0"/>
          <w:sz w:val="22"/>
          <w:szCs w:val="22"/>
        </w:rPr>
        <w:t>9</w:t>
      </w:r>
      <w:r w:rsidRPr="006F7C42">
        <w:rPr>
          <w:rFonts w:ascii="Times New Roman" w:hAnsi="Times New Roman" w:cs="Times New Roman"/>
          <w:b w:val="0"/>
          <w:spacing w:val="-4"/>
          <w:sz w:val="22"/>
          <w:szCs w:val="22"/>
        </w:rPr>
        <w:t>0</w:t>
      </w:r>
      <w:r w:rsidRPr="006F7C42">
        <w:rPr>
          <w:rFonts w:ascii="Times New Roman" w:hAnsi="Times New Roman" w:cs="Times New Roman"/>
          <w:b w:val="0"/>
          <w:sz w:val="22"/>
          <w:szCs w:val="22"/>
        </w:rPr>
        <w:t>-</w:t>
      </w:r>
      <w:r w:rsidRPr="006F7C42">
        <w:rPr>
          <w:rFonts w:ascii="Times New Roman" w:hAnsi="Times New Roman" w:cs="Times New Roman"/>
          <w:b w:val="0"/>
          <w:spacing w:val="3"/>
          <w:sz w:val="22"/>
          <w:szCs w:val="22"/>
        </w:rPr>
        <w:t>7</w:t>
      </w:r>
      <w:r w:rsidRPr="006F7C42">
        <w:rPr>
          <w:rFonts w:ascii="Times New Roman" w:hAnsi="Times New Roman" w:cs="Times New Roman"/>
          <w:b w:val="0"/>
          <w:sz w:val="22"/>
          <w:szCs w:val="22"/>
        </w:rPr>
        <w:t>00</w:t>
      </w:r>
      <w:r w:rsidRPr="006F7C42">
        <w:rPr>
          <w:rFonts w:ascii="Times New Roman" w:hAnsi="Times New Roman" w:cs="Times New Roman"/>
          <w:b w:val="0"/>
          <w:spacing w:val="13"/>
          <w:sz w:val="22"/>
          <w:szCs w:val="22"/>
        </w:rPr>
        <w:t xml:space="preserve"> </w:t>
      </w:r>
      <w:r w:rsidRPr="006F7C42">
        <w:rPr>
          <w:rFonts w:ascii="Times New Roman" w:hAnsi="Times New Roman" w:cs="Times New Roman"/>
          <w:b w:val="0"/>
          <w:sz w:val="22"/>
          <w:szCs w:val="22"/>
        </w:rPr>
        <w:t>du</w:t>
      </w:r>
      <w:r w:rsidRPr="006F7C42">
        <w:rPr>
          <w:rFonts w:ascii="Times New Roman" w:hAnsi="Times New Roman" w:cs="Times New Roman"/>
          <w:b w:val="0"/>
          <w:spacing w:val="24"/>
          <w:sz w:val="22"/>
          <w:szCs w:val="22"/>
        </w:rPr>
        <w:t xml:space="preserve"> </w:t>
      </w:r>
      <w:r w:rsidRPr="006F7C42">
        <w:rPr>
          <w:rFonts w:ascii="Times New Roman" w:hAnsi="Times New Roman" w:cs="Times New Roman"/>
          <w:b w:val="0"/>
          <w:spacing w:val="-13"/>
          <w:sz w:val="22"/>
          <w:szCs w:val="22"/>
        </w:rPr>
        <w:t>8</w:t>
      </w:r>
      <w:r w:rsidRPr="006F7C42">
        <w:rPr>
          <w:rFonts w:ascii="Times New Roman" w:hAnsi="Times New Roman" w:cs="Times New Roman"/>
          <w:b w:val="0"/>
          <w:spacing w:val="9"/>
          <w:sz w:val="22"/>
          <w:szCs w:val="22"/>
        </w:rPr>
        <w:t>/</w:t>
      </w:r>
      <w:r w:rsidRPr="006F7C42">
        <w:rPr>
          <w:rFonts w:ascii="Times New Roman" w:hAnsi="Times New Roman" w:cs="Times New Roman"/>
          <w:b w:val="0"/>
          <w:sz w:val="22"/>
          <w:szCs w:val="22"/>
        </w:rPr>
        <w:t>08/</w:t>
      </w:r>
      <w:r w:rsidRPr="006F7C42">
        <w:rPr>
          <w:rFonts w:ascii="Times New Roman" w:hAnsi="Times New Roman" w:cs="Times New Roman"/>
          <w:b w:val="0"/>
          <w:spacing w:val="6"/>
          <w:sz w:val="22"/>
          <w:szCs w:val="22"/>
        </w:rPr>
        <w:t>9</w:t>
      </w:r>
      <w:r w:rsidRPr="006F7C42">
        <w:rPr>
          <w:rFonts w:ascii="Times New Roman" w:hAnsi="Times New Roman" w:cs="Times New Roman"/>
          <w:b w:val="0"/>
          <w:sz w:val="22"/>
          <w:szCs w:val="22"/>
        </w:rPr>
        <w:t>0</w:t>
      </w:r>
      <w:r w:rsidRPr="006F7C42">
        <w:rPr>
          <w:rFonts w:ascii="Times New Roman" w:hAnsi="Times New Roman" w:cs="Times New Roman"/>
          <w:b w:val="0"/>
          <w:spacing w:val="15"/>
          <w:sz w:val="22"/>
          <w:szCs w:val="22"/>
        </w:rPr>
        <w:t xml:space="preserve"> </w:t>
      </w:r>
      <w:r w:rsidRPr="006F7C42">
        <w:rPr>
          <w:rFonts w:ascii="Times New Roman" w:hAnsi="Times New Roman" w:cs="Times New Roman"/>
          <w:b w:val="0"/>
          <w:sz w:val="22"/>
          <w:szCs w:val="22"/>
        </w:rPr>
        <w:t>modifiant</w:t>
      </w:r>
      <w:r w:rsidRPr="006F7C42">
        <w:rPr>
          <w:rFonts w:ascii="Times New Roman" w:hAnsi="Times New Roman" w:cs="Times New Roman"/>
          <w:b w:val="0"/>
          <w:spacing w:val="31"/>
          <w:sz w:val="22"/>
          <w:szCs w:val="22"/>
        </w:rPr>
        <w:t xml:space="preserve"> </w:t>
      </w:r>
      <w:r w:rsidRPr="006F7C42">
        <w:rPr>
          <w:rFonts w:ascii="Times New Roman" w:hAnsi="Times New Roman" w:cs="Times New Roman"/>
          <w:b w:val="0"/>
          <w:sz w:val="22"/>
          <w:szCs w:val="22"/>
        </w:rPr>
        <w:t>le</w:t>
      </w:r>
      <w:r w:rsidRPr="006F7C42">
        <w:rPr>
          <w:rFonts w:ascii="Times New Roman" w:hAnsi="Times New Roman" w:cs="Times New Roman"/>
          <w:b w:val="0"/>
          <w:spacing w:val="3"/>
          <w:sz w:val="22"/>
          <w:szCs w:val="22"/>
        </w:rPr>
        <w:t xml:space="preserve"> </w:t>
      </w:r>
      <w:r w:rsidRPr="006F7C42">
        <w:rPr>
          <w:rFonts w:ascii="Times New Roman" w:hAnsi="Times New Roman" w:cs="Times New Roman"/>
          <w:b w:val="0"/>
          <w:sz w:val="22"/>
          <w:szCs w:val="22"/>
        </w:rPr>
        <w:t>code</w:t>
      </w:r>
      <w:r w:rsidRPr="006F7C42">
        <w:rPr>
          <w:rFonts w:ascii="Times New Roman" w:hAnsi="Times New Roman" w:cs="Times New Roman"/>
          <w:b w:val="0"/>
          <w:spacing w:val="13"/>
          <w:sz w:val="22"/>
          <w:szCs w:val="22"/>
        </w:rPr>
        <w:t xml:space="preserve"> </w:t>
      </w:r>
      <w:r w:rsidRPr="006F7C42">
        <w:rPr>
          <w:rFonts w:ascii="Times New Roman" w:hAnsi="Times New Roman" w:cs="Times New Roman"/>
          <w:b w:val="0"/>
          <w:sz w:val="22"/>
          <w:szCs w:val="22"/>
        </w:rPr>
        <w:t>des</w:t>
      </w:r>
      <w:r w:rsidRPr="006F7C42">
        <w:rPr>
          <w:rFonts w:ascii="Times New Roman" w:hAnsi="Times New Roman" w:cs="Times New Roman"/>
          <w:b w:val="0"/>
          <w:spacing w:val="10"/>
          <w:sz w:val="22"/>
          <w:szCs w:val="22"/>
        </w:rPr>
        <w:t xml:space="preserve"> </w:t>
      </w:r>
      <w:r w:rsidRPr="006F7C42">
        <w:rPr>
          <w:rFonts w:ascii="Times New Roman" w:hAnsi="Times New Roman" w:cs="Times New Roman"/>
          <w:b w:val="0"/>
          <w:sz w:val="22"/>
          <w:szCs w:val="22"/>
        </w:rPr>
        <w:t>assurances</w:t>
      </w:r>
      <w:r w:rsidRPr="006F7C42">
        <w:rPr>
          <w:rFonts w:ascii="Times New Roman" w:hAnsi="Times New Roman" w:cs="Times New Roman"/>
          <w:b w:val="0"/>
          <w:spacing w:val="15"/>
          <w:sz w:val="22"/>
          <w:szCs w:val="22"/>
        </w:rPr>
        <w:t xml:space="preserve"> </w:t>
      </w:r>
      <w:r w:rsidRPr="006F7C42">
        <w:rPr>
          <w:rFonts w:ascii="Times New Roman" w:hAnsi="Times New Roman" w:cs="Times New Roman"/>
          <w:b w:val="0"/>
          <w:sz w:val="22"/>
          <w:szCs w:val="22"/>
        </w:rPr>
        <w:t>en</w:t>
      </w:r>
      <w:r w:rsidRPr="006F7C42">
        <w:rPr>
          <w:rFonts w:ascii="Times New Roman" w:hAnsi="Times New Roman" w:cs="Times New Roman"/>
          <w:b w:val="0"/>
          <w:spacing w:val="14"/>
          <w:sz w:val="22"/>
          <w:szCs w:val="22"/>
        </w:rPr>
        <w:t xml:space="preserve"> </w:t>
      </w:r>
      <w:r w:rsidRPr="006F7C42">
        <w:rPr>
          <w:rFonts w:ascii="Times New Roman" w:hAnsi="Times New Roman" w:cs="Times New Roman"/>
          <w:b w:val="0"/>
          <w:sz w:val="22"/>
          <w:szCs w:val="22"/>
        </w:rPr>
        <w:t>ce</w:t>
      </w:r>
      <w:r w:rsidRPr="006F7C42">
        <w:rPr>
          <w:rFonts w:ascii="Times New Roman" w:hAnsi="Times New Roman" w:cs="Times New Roman"/>
          <w:b w:val="0"/>
          <w:spacing w:val="3"/>
          <w:sz w:val="22"/>
          <w:szCs w:val="22"/>
        </w:rPr>
        <w:t xml:space="preserve"> </w:t>
      </w:r>
      <w:r w:rsidRPr="006F7C42">
        <w:rPr>
          <w:rFonts w:ascii="Times New Roman" w:hAnsi="Times New Roman" w:cs="Times New Roman"/>
          <w:b w:val="0"/>
          <w:sz w:val="22"/>
          <w:szCs w:val="22"/>
        </w:rPr>
        <w:t>qui</w:t>
      </w:r>
      <w:r w:rsidRPr="006F7C42">
        <w:rPr>
          <w:rFonts w:ascii="Times New Roman" w:hAnsi="Times New Roman" w:cs="Times New Roman"/>
          <w:b w:val="0"/>
          <w:spacing w:val="11"/>
          <w:sz w:val="22"/>
          <w:szCs w:val="22"/>
        </w:rPr>
        <w:t xml:space="preserve"> </w:t>
      </w:r>
      <w:r w:rsidRPr="006F7C42">
        <w:rPr>
          <w:rFonts w:ascii="Times New Roman" w:hAnsi="Times New Roman" w:cs="Times New Roman"/>
          <w:b w:val="0"/>
          <w:sz w:val="22"/>
          <w:szCs w:val="22"/>
        </w:rPr>
        <w:t>concerne</w:t>
      </w:r>
      <w:r w:rsidRPr="006F7C42">
        <w:rPr>
          <w:rFonts w:ascii="Times New Roman" w:hAnsi="Times New Roman" w:cs="Times New Roman"/>
          <w:b w:val="0"/>
          <w:spacing w:val="21"/>
          <w:sz w:val="22"/>
          <w:szCs w:val="22"/>
        </w:rPr>
        <w:t xml:space="preserve"> </w:t>
      </w:r>
      <w:r w:rsidRPr="006F7C42">
        <w:rPr>
          <w:rFonts w:ascii="Times New Roman" w:hAnsi="Times New Roman" w:cs="Times New Roman"/>
          <w:b w:val="0"/>
          <w:sz w:val="22"/>
          <w:szCs w:val="22"/>
        </w:rPr>
        <w:t>la</w:t>
      </w:r>
      <w:r w:rsidRPr="006F7C42">
        <w:rPr>
          <w:rFonts w:ascii="Times New Roman" w:hAnsi="Times New Roman" w:cs="Times New Roman"/>
          <w:b w:val="0"/>
          <w:spacing w:val="15"/>
          <w:sz w:val="22"/>
          <w:szCs w:val="22"/>
        </w:rPr>
        <w:t xml:space="preserve"> </w:t>
      </w:r>
      <w:r w:rsidRPr="006F7C42">
        <w:rPr>
          <w:rFonts w:ascii="Times New Roman" w:hAnsi="Times New Roman" w:cs="Times New Roman"/>
          <w:b w:val="0"/>
          <w:sz w:val="22"/>
          <w:szCs w:val="22"/>
        </w:rPr>
        <w:t>libre</w:t>
      </w:r>
      <w:r w:rsidRPr="006F7C42">
        <w:rPr>
          <w:rFonts w:ascii="Times New Roman" w:hAnsi="Times New Roman" w:cs="Times New Roman"/>
          <w:b w:val="0"/>
          <w:spacing w:val="13"/>
          <w:sz w:val="22"/>
          <w:szCs w:val="22"/>
        </w:rPr>
        <w:t xml:space="preserve"> </w:t>
      </w:r>
      <w:r w:rsidRPr="006F7C42">
        <w:rPr>
          <w:rFonts w:ascii="Times New Roman" w:hAnsi="Times New Roman" w:cs="Times New Roman"/>
          <w:b w:val="0"/>
          <w:sz w:val="22"/>
          <w:szCs w:val="22"/>
        </w:rPr>
        <w:t>prestation</w:t>
      </w:r>
      <w:r w:rsidRPr="006F7C42">
        <w:rPr>
          <w:rFonts w:ascii="Times New Roman" w:hAnsi="Times New Roman" w:cs="Times New Roman"/>
          <w:b w:val="0"/>
          <w:spacing w:val="37"/>
          <w:sz w:val="22"/>
          <w:szCs w:val="22"/>
        </w:rPr>
        <w:t xml:space="preserve"> </w:t>
      </w:r>
      <w:r w:rsidRPr="006F7C42">
        <w:rPr>
          <w:rFonts w:ascii="Times New Roman" w:hAnsi="Times New Roman" w:cs="Times New Roman"/>
          <w:b w:val="0"/>
          <w:sz w:val="22"/>
          <w:szCs w:val="22"/>
        </w:rPr>
        <w:t>de</w:t>
      </w:r>
      <w:r w:rsidRPr="006F7C42">
        <w:rPr>
          <w:rFonts w:ascii="Times New Roman" w:hAnsi="Times New Roman" w:cs="Times New Roman"/>
          <w:b w:val="0"/>
          <w:spacing w:val="9"/>
          <w:sz w:val="22"/>
          <w:szCs w:val="22"/>
        </w:rPr>
        <w:t xml:space="preserve"> </w:t>
      </w:r>
      <w:r w:rsidRPr="006F7C42">
        <w:rPr>
          <w:rFonts w:ascii="Times New Roman" w:hAnsi="Times New Roman" w:cs="Times New Roman"/>
          <w:b w:val="0"/>
          <w:sz w:val="22"/>
          <w:szCs w:val="22"/>
        </w:rPr>
        <w:t>services</w:t>
      </w:r>
      <w:r w:rsidRPr="006F7C42">
        <w:rPr>
          <w:rFonts w:ascii="Times New Roman" w:hAnsi="Times New Roman" w:cs="Times New Roman"/>
          <w:b w:val="0"/>
          <w:spacing w:val="9"/>
          <w:sz w:val="22"/>
          <w:szCs w:val="22"/>
        </w:rPr>
        <w:t xml:space="preserve"> </w:t>
      </w:r>
      <w:r w:rsidRPr="006F7C42">
        <w:rPr>
          <w:rFonts w:ascii="Times New Roman" w:hAnsi="Times New Roman" w:cs="Times New Roman"/>
          <w:b w:val="0"/>
          <w:sz w:val="22"/>
          <w:szCs w:val="22"/>
        </w:rPr>
        <w:t>en</w:t>
      </w:r>
      <w:r w:rsidRPr="006F7C42">
        <w:rPr>
          <w:rFonts w:ascii="Times New Roman" w:hAnsi="Times New Roman" w:cs="Times New Roman"/>
          <w:b w:val="0"/>
          <w:w w:val="97"/>
          <w:sz w:val="22"/>
          <w:szCs w:val="22"/>
        </w:rPr>
        <w:t xml:space="preserve"> </w:t>
      </w:r>
      <w:r w:rsidRPr="006F7C42">
        <w:rPr>
          <w:rFonts w:ascii="Times New Roman" w:hAnsi="Times New Roman" w:cs="Times New Roman"/>
          <w:b w:val="0"/>
          <w:sz w:val="22"/>
          <w:szCs w:val="22"/>
        </w:rPr>
        <w:t>as</w:t>
      </w:r>
      <w:r w:rsidRPr="006F7C42">
        <w:rPr>
          <w:rFonts w:ascii="Times New Roman" w:hAnsi="Times New Roman" w:cs="Times New Roman"/>
          <w:b w:val="0"/>
          <w:spacing w:val="8"/>
          <w:sz w:val="22"/>
          <w:szCs w:val="22"/>
        </w:rPr>
        <w:t>s</w:t>
      </w:r>
      <w:r w:rsidRPr="006F7C42">
        <w:rPr>
          <w:rFonts w:ascii="Times New Roman" w:hAnsi="Times New Roman" w:cs="Times New Roman"/>
          <w:b w:val="0"/>
          <w:spacing w:val="11"/>
          <w:sz w:val="22"/>
          <w:szCs w:val="22"/>
        </w:rPr>
        <w:t>u</w:t>
      </w:r>
      <w:r w:rsidRPr="006F7C42">
        <w:rPr>
          <w:rFonts w:ascii="Times New Roman" w:hAnsi="Times New Roman" w:cs="Times New Roman"/>
          <w:b w:val="0"/>
          <w:sz w:val="22"/>
          <w:szCs w:val="22"/>
        </w:rPr>
        <w:t>rances</w:t>
      </w:r>
      <w:r w:rsidRPr="006F7C42">
        <w:rPr>
          <w:rFonts w:ascii="Times New Roman" w:hAnsi="Times New Roman" w:cs="Times New Roman"/>
          <w:b w:val="0"/>
          <w:spacing w:val="12"/>
          <w:sz w:val="22"/>
          <w:szCs w:val="22"/>
        </w:rPr>
        <w:t xml:space="preserve"> </w:t>
      </w:r>
      <w:r w:rsidRPr="006F7C42">
        <w:rPr>
          <w:rFonts w:ascii="Times New Roman" w:hAnsi="Times New Roman" w:cs="Times New Roman"/>
          <w:b w:val="0"/>
          <w:spacing w:val="10"/>
          <w:sz w:val="22"/>
          <w:szCs w:val="22"/>
        </w:rPr>
        <w:t>d</w:t>
      </w:r>
      <w:r w:rsidRPr="006F7C42">
        <w:rPr>
          <w:rFonts w:ascii="Times New Roman" w:hAnsi="Times New Roman" w:cs="Times New Roman"/>
          <w:b w:val="0"/>
          <w:sz w:val="22"/>
          <w:szCs w:val="22"/>
        </w:rPr>
        <w:t>e</w:t>
      </w:r>
      <w:r w:rsidRPr="006F7C42">
        <w:rPr>
          <w:rFonts w:ascii="Times New Roman" w:hAnsi="Times New Roman" w:cs="Times New Roman"/>
          <w:b w:val="0"/>
          <w:spacing w:val="-1"/>
          <w:sz w:val="22"/>
          <w:szCs w:val="22"/>
        </w:rPr>
        <w:t xml:space="preserve"> </w:t>
      </w:r>
      <w:r w:rsidRPr="006F7C42">
        <w:rPr>
          <w:rFonts w:ascii="Times New Roman" w:hAnsi="Times New Roman" w:cs="Times New Roman"/>
          <w:b w:val="0"/>
          <w:sz w:val="22"/>
          <w:szCs w:val="22"/>
        </w:rPr>
        <w:t>d</w:t>
      </w:r>
      <w:r w:rsidRPr="006F7C42">
        <w:rPr>
          <w:rFonts w:ascii="Times New Roman" w:hAnsi="Times New Roman" w:cs="Times New Roman"/>
          <w:b w:val="0"/>
          <w:spacing w:val="2"/>
          <w:sz w:val="22"/>
          <w:szCs w:val="22"/>
        </w:rPr>
        <w:t>o</w:t>
      </w:r>
      <w:r w:rsidRPr="006F7C42">
        <w:rPr>
          <w:rFonts w:ascii="Times New Roman" w:hAnsi="Times New Roman" w:cs="Times New Roman"/>
          <w:b w:val="0"/>
          <w:sz w:val="22"/>
          <w:szCs w:val="22"/>
        </w:rPr>
        <w:t>m</w:t>
      </w:r>
      <w:r w:rsidRPr="006F7C42">
        <w:rPr>
          <w:rFonts w:ascii="Times New Roman" w:hAnsi="Times New Roman" w:cs="Times New Roman"/>
          <w:b w:val="0"/>
          <w:spacing w:val="-30"/>
          <w:sz w:val="22"/>
          <w:szCs w:val="22"/>
        </w:rPr>
        <w:t xml:space="preserve"> </w:t>
      </w:r>
      <w:r w:rsidRPr="006F7C42">
        <w:rPr>
          <w:rFonts w:ascii="Times New Roman" w:hAnsi="Times New Roman" w:cs="Times New Roman"/>
          <w:b w:val="0"/>
          <w:sz w:val="22"/>
          <w:szCs w:val="22"/>
        </w:rPr>
        <w:t>mages</w:t>
      </w:r>
      <w:r w:rsidRPr="006F7C42">
        <w:rPr>
          <w:rFonts w:ascii="Times New Roman" w:hAnsi="Times New Roman" w:cs="Times New Roman"/>
          <w:b w:val="0"/>
          <w:spacing w:val="18"/>
          <w:sz w:val="22"/>
          <w:szCs w:val="22"/>
        </w:rPr>
        <w:t xml:space="preserve"> </w:t>
      </w:r>
      <w:r w:rsidRPr="006F7C42">
        <w:rPr>
          <w:rFonts w:ascii="Times New Roman" w:hAnsi="Times New Roman" w:cs="Times New Roman"/>
          <w:b w:val="0"/>
          <w:sz w:val="22"/>
          <w:szCs w:val="22"/>
        </w:rPr>
        <w:t>et</w:t>
      </w:r>
      <w:r w:rsidRPr="006F7C42">
        <w:rPr>
          <w:rFonts w:ascii="Times New Roman" w:hAnsi="Times New Roman" w:cs="Times New Roman"/>
          <w:b w:val="0"/>
          <w:spacing w:val="20"/>
          <w:sz w:val="22"/>
          <w:szCs w:val="22"/>
        </w:rPr>
        <w:t xml:space="preserve"> </w:t>
      </w:r>
      <w:r w:rsidRPr="006F7C42">
        <w:rPr>
          <w:rFonts w:ascii="Times New Roman" w:hAnsi="Times New Roman" w:cs="Times New Roman"/>
          <w:b w:val="0"/>
          <w:spacing w:val="11"/>
          <w:sz w:val="22"/>
          <w:szCs w:val="22"/>
        </w:rPr>
        <w:t>l</w:t>
      </w:r>
      <w:r w:rsidRPr="006F7C42">
        <w:rPr>
          <w:rFonts w:ascii="Times New Roman" w:hAnsi="Times New Roman" w:cs="Times New Roman"/>
          <w:b w:val="0"/>
          <w:sz w:val="22"/>
          <w:szCs w:val="22"/>
        </w:rPr>
        <w:t>es</w:t>
      </w:r>
      <w:r w:rsidRPr="006F7C42">
        <w:rPr>
          <w:rFonts w:ascii="Times New Roman" w:hAnsi="Times New Roman" w:cs="Times New Roman"/>
          <w:b w:val="0"/>
          <w:spacing w:val="-1"/>
          <w:sz w:val="22"/>
          <w:szCs w:val="22"/>
        </w:rPr>
        <w:t xml:space="preserve"> </w:t>
      </w:r>
      <w:r w:rsidRPr="006F7C42">
        <w:rPr>
          <w:rFonts w:ascii="Times New Roman" w:hAnsi="Times New Roman" w:cs="Times New Roman"/>
          <w:b w:val="0"/>
          <w:sz w:val="22"/>
          <w:szCs w:val="22"/>
        </w:rPr>
        <w:t>engagements</w:t>
      </w:r>
      <w:r w:rsidRPr="006F7C42">
        <w:rPr>
          <w:rFonts w:ascii="Times New Roman" w:hAnsi="Times New Roman" w:cs="Times New Roman"/>
          <w:b w:val="0"/>
          <w:spacing w:val="25"/>
          <w:sz w:val="22"/>
          <w:szCs w:val="22"/>
        </w:rPr>
        <w:t xml:space="preserve"> </w:t>
      </w:r>
      <w:r w:rsidRPr="006F7C42">
        <w:rPr>
          <w:rFonts w:ascii="Times New Roman" w:hAnsi="Times New Roman" w:cs="Times New Roman"/>
          <w:b w:val="0"/>
          <w:sz w:val="22"/>
          <w:szCs w:val="22"/>
        </w:rPr>
        <w:t>réglementés (Arrêté de promulgation n° 1006 DRCL du 9/10/91 ; JOPF 17/10/91, p. 1719) ;</w:t>
      </w:r>
    </w:p>
    <w:p w14:paraId="52936911" w14:textId="77777777" w:rsidR="000819C7" w:rsidRPr="006F7C42" w:rsidRDefault="000819C7" w:rsidP="000819C7">
      <w:pPr>
        <w:pStyle w:val="Titre"/>
        <w:ind w:left="142" w:hanging="142"/>
        <w:jc w:val="both"/>
        <w:rPr>
          <w:rFonts w:ascii="Times New Roman" w:hAnsi="Times New Roman" w:cs="Times New Roman"/>
          <w:b w:val="0"/>
          <w:sz w:val="22"/>
          <w:szCs w:val="22"/>
        </w:rPr>
      </w:pPr>
      <w:r w:rsidRPr="006F7C42">
        <w:rPr>
          <w:rFonts w:ascii="Times New Roman" w:hAnsi="Times New Roman" w:cs="Times New Roman"/>
          <w:b w:val="0"/>
          <w:i/>
          <w:sz w:val="22"/>
          <w:szCs w:val="22"/>
        </w:rPr>
        <w:lastRenderedPageBreak/>
        <w:t xml:space="preserve">- </w:t>
      </w:r>
      <w:r w:rsidRPr="006F7C42">
        <w:rPr>
          <w:rFonts w:ascii="Times New Roman" w:hAnsi="Times New Roman" w:cs="Times New Roman"/>
          <w:b w:val="0"/>
          <w:spacing w:val="5"/>
          <w:sz w:val="22"/>
          <w:szCs w:val="22"/>
        </w:rPr>
        <w:t>D</w:t>
      </w:r>
      <w:r w:rsidRPr="006F7C42">
        <w:rPr>
          <w:rFonts w:ascii="Times New Roman" w:hAnsi="Times New Roman" w:cs="Times New Roman"/>
          <w:b w:val="0"/>
          <w:sz w:val="22"/>
          <w:szCs w:val="22"/>
        </w:rPr>
        <w:t>é</w:t>
      </w:r>
      <w:r w:rsidRPr="006F7C42">
        <w:rPr>
          <w:rFonts w:ascii="Times New Roman" w:hAnsi="Times New Roman" w:cs="Times New Roman"/>
          <w:b w:val="0"/>
          <w:spacing w:val="7"/>
          <w:sz w:val="22"/>
          <w:szCs w:val="22"/>
        </w:rPr>
        <w:t>c</w:t>
      </w:r>
      <w:r w:rsidRPr="006F7C42">
        <w:rPr>
          <w:rFonts w:ascii="Times New Roman" w:hAnsi="Times New Roman" w:cs="Times New Roman"/>
          <w:b w:val="0"/>
          <w:spacing w:val="11"/>
          <w:sz w:val="22"/>
          <w:szCs w:val="22"/>
        </w:rPr>
        <w:t>r</w:t>
      </w:r>
      <w:r w:rsidRPr="006F7C42">
        <w:rPr>
          <w:rFonts w:ascii="Times New Roman" w:hAnsi="Times New Roman" w:cs="Times New Roman"/>
          <w:b w:val="0"/>
          <w:spacing w:val="-3"/>
          <w:sz w:val="22"/>
          <w:szCs w:val="22"/>
        </w:rPr>
        <w:t>e</w:t>
      </w:r>
      <w:r w:rsidRPr="006F7C42">
        <w:rPr>
          <w:rFonts w:ascii="Times New Roman" w:hAnsi="Times New Roman" w:cs="Times New Roman"/>
          <w:b w:val="0"/>
          <w:sz w:val="22"/>
          <w:szCs w:val="22"/>
        </w:rPr>
        <w:t>t</w:t>
      </w:r>
      <w:r w:rsidRPr="006F7C42">
        <w:rPr>
          <w:rFonts w:ascii="Times New Roman" w:hAnsi="Times New Roman" w:cs="Times New Roman"/>
          <w:b w:val="0"/>
          <w:spacing w:val="13"/>
          <w:sz w:val="22"/>
          <w:szCs w:val="22"/>
        </w:rPr>
        <w:t xml:space="preserve"> </w:t>
      </w:r>
      <w:r w:rsidRPr="006F7C42">
        <w:rPr>
          <w:rFonts w:ascii="Times New Roman" w:hAnsi="Times New Roman" w:cs="Times New Roman"/>
          <w:b w:val="0"/>
          <w:sz w:val="22"/>
          <w:szCs w:val="22"/>
        </w:rPr>
        <w:t>n°</w:t>
      </w:r>
      <w:r w:rsidRPr="006F7C42">
        <w:rPr>
          <w:rFonts w:ascii="Times New Roman" w:hAnsi="Times New Roman" w:cs="Times New Roman"/>
          <w:b w:val="0"/>
          <w:spacing w:val="5"/>
          <w:sz w:val="22"/>
          <w:szCs w:val="22"/>
        </w:rPr>
        <w:t xml:space="preserve"> </w:t>
      </w:r>
      <w:r w:rsidRPr="006F7C42">
        <w:rPr>
          <w:rFonts w:ascii="Times New Roman" w:hAnsi="Times New Roman" w:cs="Times New Roman"/>
          <w:b w:val="0"/>
          <w:sz w:val="22"/>
          <w:szCs w:val="22"/>
        </w:rPr>
        <w:t>9</w:t>
      </w:r>
      <w:r w:rsidRPr="006F7C42">
        <w:rPr>
          <w:rFonts w:ascii="Times New Roman" w:hAnsi="Times New Roman" w:cs="Times New Roman"/>
          <w:b w:val="0"/>
          <w:spacing w:val="17"/>
          <w:sz w:val="22"/>
          <w:szCs w:val="22"/>
        </w:rPr>
        <w:t>1</w:t>
      </w:r>
      <w:r w:rsidRPr="006F7C42">
        <w:rPr>
          <w:rFonts w:ascii="Times New Roman" w:hAnsi="Times New Roman" w:cs="Times New Roman"/>
          <w:b w:val="0"/>
          <w:sz w:val="22"/>
          <w:szCs w:val="22"/>
        </w:rPr>
        <w:t>-</w:t>
      </w:r>
      <w:r w:rsidRPr="006F7C42">
        <w:rPr>
          <w:rFonts w:ascii="Times New Roman" w:hAnsi="Times New Roman" w:cs="Times New Roman"/>
          <w:b w:val="0"/>
          <w:spacing w:val="4"/>
          <w:sz w:val="22"/>
          <w:szCs w:val="22"/>
        </w:rPr>
        <w:t>6</w:t>
      </w:r>
      <w:r w:rsidRPr="006F7C42">
        <w:rPr>
          <w:rFonts w:ascii="Times New Roman" w:hAnsi="Times New Roman" w:cs="Times New Roman"/>
          <w:b w:val="0"/>
          <w:spacing w:val="6"/>
          <w:sz w:val="22"/>
          <w:szCs w:val="22"/>
        </w:rPr>
        <w:t>0</w:t>
      </w:r>
      <w:r w:rsidRPr="006F7C42">
        <w:rPr>
          <w:rFonts w:ascii="Times New Roman" w:hAnsi="Times New Roman" w:cs="Times New Roman"/>
          <w:b w:val="0"/>
          <w:sz w:val="22"/>
          <w:szCs w:val="22"/>
        </w:rPr>
        <w:t>3</w:t>
      </w:r>
      <w:r w:rsidRPr="006F7C42">
        <w:rPr>
          <w:rFonts w:ascii="Times New Roman" w:hAnsi="Times New Roman" w:cs="Times New Roman"/>
          <w:b w:val="0"/>
          <w:spacing w:val="5"/>
          <w:sz w:val="22"/>
          <w:szCs w:val="22"/>
        </w:rPr>
        <w:t xml:space="preserve"> </w:t>
      </w:r>
      <w:r w:rsidRPr="006F7C42">
        <w:rPr>
          <w:rFonts w:ascii="Times New Roman" w:hAnsi="Times New Roman" w:cs="Times New Roman"/>
          <w:b w:val="0"/>
          <w:sz w:val="22"/>
          <w:szCs w:val="22"/>
        </w:rPr>
        <w:t>du</w:t>
      </w:r>
      <w:r w:rsidRPr="006F7C42">
        <w:rPr>
          <w:rFonts w:ascii="Times New Roman" w:hAnsi="Times New Roman" w:cs="Times New Roman"/>
          <w:b w:val="0"/>
          <w:spacing w:val="6"/>
          <w:sz w:val="22"/>
          <w:szCs w:val="22"/>
        </w:rPr>
        <w:t xml:space="preserve"> </w:t>
      </w:r>
      <w:r w:rsidRPr="006F7C42">
        <w:rPr>
          <w:rFonts w:ascii="Times New Roman" w:hAnsi="Times New Roman" w:cs="Times New Roman"/>
          <w:b w:val="0"/>
          <w:sz w:val="22"/>
          <w:szCs w:val="22"/>
        </w:rPr>
        <w:t>27/</w:t>
      </w:r>
      <w:r w:rsidRPr="006F7C42">
        <w:rPr>
          <w:rFonts w:ascii="Times New Roman" w:hAnsi="Times New Roman" w:cs="Times New Roman"/>
          <w:b w:val="0"/>
          <w:spacing w:val="13"/>
          <w:sz w:val="22"/>
          <w:szCs w:val="22"/>
        </w:rPr>
        <w:t>0</w:t>
      </w:r>
      <w:r w:rsidRPr="006F7C42">
        <w:rPr>
          <w:rFonts w:ascii="Times New Roman" w:hAnsi="Times New Roman" w:cs="Times New Roman"/>
          <w:b w:val="0"/>
          <w:spacing w:val="-6"/>
          <w:sz w:val="22"/>
          <w:szCs w:val="22"/>
        </w:rPr>
        <w:t>6</w:t>
      </w:r>
      <w:r w:rsidRPr="006F7C42">
        <w:rPr>
          <w:rFonts w:ascii="Times New Roman" w:hAnsi="Times New Roman" w:cs="Times New Roman"/>
          <w:b w:val="0"/>
          <w:spacing w:val="6"/>
          <w:sz w:val="22"/>
          <w:szCs w:val="22"/>
        </w:rPr>
        <w:t>/</w:t>
      </w:r>
      <w:r w:rsidRPr="006F7C42">
        <w:rPr>
          <w:rFonts w:ascii="Times New Roman" w:hAnsi="Times New Roman" w:cs="Times New Roman"/>
          <w:b w:val="0"/>
          <w:sz w:val="22"/>
          <w:szCs w:val="22"/>
        </w:rPr>
        <w:t>9</w:t>
      </w:r>
      <w:r w:rsidRPr="006F7C42">
        <w:rPr>
          <w:rFonts w:ascii="Times New Roman" w:hAnsi="Times New Roman" w:cs="Times New Roman"/>
          <w:b w:val="0"/>
          <w:spacing w:val="-29"/>
          <w:sz w:val="22"/>
          <w:szCs w:val="22"/>
        </w:rPr>
        <w:t xml:space="preserve"> </w:t>
      </w:r>
      <w:r w:rsidRPr="006F7C42">
        <w:rPr>
          <w:rFonts w:ascii="Times New Roman" w:hAnsi="Times New Roman" w:cs="Times New Roman"/>
          <w:b w:val="0"/>
          <w:sz w:val="22"/>
          <w:szCs w:val="22"/>
        </w:rPr>
        <w:t>1</w:t>
      </w:r>
      <w:r w:rsidRPr="006F7C42">
        <w:rPr>
          <w:rFonts w:ascii="Times New Roman" w:hAnsi="Times New Roman" w:cs="Times New Roman"/>
          <w:b w:val="0"/>
          <w:spacing w:val="14"/>
          <w:sz w:val="22"/>
          <w:szCs w:val="22"/>
        </w:rPr>
        <w:t xml:space="preserve"> </w:t>
      </w:r>
      <w:r w:rsidRPr="006F7C42">
        <w:rPr>
          <w:rFonts w:ascii="Times New Roman" w:hAnsi="Times New Roman" w:cs="Times New Roman"/>
          <w:b w:val="0"/>
          <w:sz w:val="22"/>
          <w:szCs w:val="22"/>
        </w:rPr>
        <w:t>modifiant</w:t>
      </w:r>
      <w:r w:rsidRPr="006F7C42">
        <w:rPr>
          <w:rFonts w:ascii="Times New Roman" w:hAnsi="Times New Roman" w:cs="Times New Roman"/>
          <w:b w:val="0"/>
          <w:spacing w:val="26"/>
          <w:sz w:val="22"/>
          <w:szCs w:val="22"/>
        </w:rPr>
        <w:t xml:space="preserve"> </w:t>
      </w:r>
      <w:r w:rsidRPr="006F7C42">
        <w:rPr>
          <w:rFonts w:ascii="Times New Roman" w:hAnsi="Times New Roman" w:cs="Times New Roman"/>
          <w:b w:val="0"/>
          <w:sz w:val="22"/>
          <w:szCs w:val="22"/>
        </w:rPr>
        <w:t>le</w:t>
      </w:r>
      <w:r w:rsidRPr="006F7C42">
        <w:rPr>
          <w:rFonts w:ascii="Times New Roman" w:hAnsi="Times New Roman" w:cs="Times New Roman"/>
          <w:b w:val="0"/>
          <w:spacing w:val="8"/>
          <w:sz w:val="22"/>
          <w:szCs w:val="22"/>
        </w:rPr>
        <w:t xml:space="preserve"> </w:t>
      </w:r>
      <w:r w:rsidRPr="006F7C42">
        <w:rPr>
          <w:rFonts w:ascii="Times New Roman" w:hAnsi="Times New Roman" w:cs="Times New Roman"/>
          <w:b w:val="0"/>
          <w:sz w:val="22"/>
          <w:szCs w:val="22"/>
        </w:rPr>
        <w:t>livre</w:t>
      </w:r>
      <w:r w:rsidRPr="006F7C42">
        <w:rPr>
          <w:rFonts w:ascii="Times New Roman" w:hAnsi="Times New Roman" w:cs="Times New Roman"/>
          <w:b w:val="0"/>
          <w:spacing w:val="9"/>
          <w:sz w:val="22"/>
          <w:szCs w:val="22"/>
        </w:rPr>
        <w:t xml:space="preserve"> </w:t>
      </w:r>
      <w:r w:rsidRPr="006F7C42">
        <w:rPr>
          <w:rFonts w:ascii="Times New Roman" w:hAnsi="Times New Roman" w:cs="Times New Roman"/>
          <w:b w:val="0"/>
          <w:sz w:val="22"/>
          <w:szCs w:val="22"/>
        </w:rPr>
        <w:t>III</w:t>
      </w:r>
      <w:r w:rsidRPr="006F7C42">
        <w:rPr>
          <w:rFonts w:ascii="Times New Roman" w:hAnsi="Times New Roman" w:cs="Times New Roman"/>
          <w:b w:val="0"/>
          <w:spacing w:val="8"/>
          <w:sz w:val="22"/>
          <w:szCs w:val="22"/>
        </w:rPr>
        <w:t xml:space="preserve"> </w:t>
      </w:r>
      <w:r w:rsidRPr="006F7C42">
        <w:rPr>
          <w:rFonts w:ascii="Times New Roman" w:hAnsi="Times New Roman" w:cs="Times New Roman"/>
          <w:b w:val="0"/>
          <w:sz w:val="22"/>
          <w:szCs w:val="22"/>
        </w:rPr>
        <w:t>du</w:t>
      </w:r>
      <w:r w:rsidRPr="006F7C42">
        <w:rPr>
          <w:rFonts w:ascii="Times New Roman" w:hAnsi="Times New Roman" w:cs="Times New Roman"/>
          <w:b w:val="0"/>
          <w:spacing w:val="10"/>
          <w:sz w:val="22"/>
          <w:szCs w:val="22"/>
        </w:rPr>
        <w:t xml:space="preserve"> </w:t>
      </w:r>
      <w:r w:rsidRPr="006F7C42">
        <w:rPr>
          <w:rFonts w:ascii="Times New Roman" w:hAnsi="Times New Roman" w:cs="Times New Roman"/>
          <w:b w:val="0"/>
          <w:sz w:val="22"/>
          <w:szCs w:val="22"/>
        </w:rPr>
        <w:t>code</w:t>
      </w:r>
      <w:r w:rsidRPr="006F7C42">
        <w:rPr>
          <w:rFonts w:ascii="Times New Roman" w:hAnsi="Times New Roman" w:cs="Times New Roman"/>
          <w:b w:val="0"/>
          <w:spacing w:val="5"/>
          <w:sz w:val="22"/>
          <w:szCs w:val="22"/>
        </w:rPr>
        <w:t xml:space="preserve"> </w:t>
      </w:r>
      <w:r w:rsidRPr="006F7C42">
        <w:rPr>
          <w:rFonts w:ascii="Times New Roman" w:hAnsi="Times New Roman" w:cs="Times New Roman"/>
          <w:b w:val="0"/>
          <w:sz w:val="22"/>
          <w:szCs w:val="22"/>
        </w:rPr>
        <w:t>des</w:t>
      </w:r>
      <w:r w:rsidRPr="006F7C42">
        <w:rPr>
          <w:rFonts w:ascii="Times New Roman" w:hAnsi="Times New Roman" w:cs="Times New Roman"/>
          <w:b w:val="0"/>
          <w:spacing w:val="10"/>
          <w:sz w:val="22"/>
          <w:szCs w:val="22"/>
        </w:rPr>
        <w:t xml:space="preserve"> </w:t>
      </w:r>
      <w:r w:rsidRPr="006F7C42">
        <w:rPr>
          <w:rFonts w:ascii="Times New Roman" w:hAnsi="Times New Roman" w:cs="Times New Roman"/>
          <w:b w:val="0"/>
          <w:sz w:val="22"/>
          <w:szCs w:val="22"/>
        </w:rPr>
        <w:t>assurances (Arrêté de promulgation n° 1006 DRCL du 9/10/91 ; JOPF 17/10/91, p. 1721) ;</w:t>
      </w:r>
    </w:p>
    <w:p w14:paraId="7C328012" w14:textId="77777777" w:rsidR="000819C7" w:rsidRPr="00F23462" w:rsidRDefault="000819C7" w:rsidP="000819C7">
      <w:pPr>
        <w:pStyle w:val="Titre"/>
        <w:ind w:left="142" w:hanging="142"/>
        <w:jc w:val="both"/>
        <w:rPr>
          <w:rFonts w:ascii="Times New Roman" w:hAnsi="Times New Roman" w:cs="Times New Roman"/>
          <w:b w:val="0"/>
          <w:spacing w:val="-2"/>
          <w:sz w:val="22"/>
          <w:szCs w:val="22"/>
        </w:rPr>
      </w:pPr>
      <w:r w:rsidRPr="006F7C42">
        <w:rPr>
          <w:rFonts w:ascii="Times New Roman" w:hAnsi="Times New Roman" w:cs="Times New Roman"/>
          <w:b w:val="0"/>
          <w:sz w:val="22"/>
          <w:szCs w:val="22"/>
        </w:rPr>
        <w:t xml:space="preserve">- </w:t>
      </w:r>
      <w:r w:rsidRPr="006F7C42">
        <w:rPr>
          <w:rFonts w:ascii="Times New Roman" w:hAnsi="Times New Roman" w:cs="Times New Roman"/>
          <w:b w:val="0"/>
          <w:spacing w:val="5"/>
          <w:sz w:val="22"/>
          <w:szCs w:val="22"/>
        </w:rPr>
        <w:t>D</w:t>
      </w:r>
      <w:r w:rsidRPr="006F7C42">
        <w:rPr>
          <w:rFonts w:ascii="Times New Roman" w:hAnsi="Times New Roman" w:cs="Times New Roman"/>
          <w:b w:val="0"/>
          <w:sz w:val="22"/>
          <w:szCs w:val="22"/>
        </w:rPr>
        <w:t>é</w:t>
      </w:r>
      <w:r w:rsidRPr="006F7C42">
        <w:rPr>
          <w:rFonts w:ascii="Times New Roman" w:hAnsi="Times New Roman" w:cs="Times New Roman"/>
          <w:b w:val="0"/>
          <w:spacing w:val="2"/>
          <w:sz w:val="22"/>
          <w:szCs w:val="22"/>
        </w:rPr>
        <w:t>c</w:t>
      </w:r>
      <w:r w:rsidRPr="006F7C42">
        <w:rPr>
          <w:rFonts w:ascii="Times New Roman" w:hAnsi="Times New Roman" w:cs="Times New Roman"/>
          <w:b w:val="0"/>
          <w:spacing w:val="1"/>
          <w:sz w:val="22"/>
          <w:szCs w:val="22"/>
        </w:rPr>
        <w:t>r</w:t>
      </w:r>
      <w:r w:rsidRPr="006F7C42">
        <w:rPr>
          <w:rFonts w:ascii="Times New Roman" w:hAnsi="Times New Roman" w:cs="Times New Roman"/>
          <w:b w:val="0"/>
          <w:spacing w:val="-9"/>
          <w:sz w:val="22"/>
          <w:szCs w:val="22"/>
        </w:rPr>
        <w:t>e</w:t>
      </w:r>
      <w:r w:rsidRPr="006F7C42">
        <w:rPr>
          <w:rFonts w:ascii="Times New Roman" w:hAnsi="Times New Roman" w:cs="Times New Roman"/>
          <w:b w:val="0"/>
          <w:sz w:val="22"/>
          <w:szCs w:val="22"/>
        </w:rPr>
        <w:t>t</w:t>
      </w:r>
      <w:r w:rsidRPr="006F7C42">
        <w:rPr>
          <w:rFonts w:ascii="Times New Roman" w:hAnsi="Times New Roman" w:cs="Times New Roman"/>
          <w:b w:val="0"/>
          <w:spacing w:val="11"/>
          <w:sz w:val="22"/>
          <w:szCs w:val="22"/>
        </w:rPr>
        <w:t xml:space="preserve"> </w:t>
      </w:r>
      <w:r w:rsidRPr="006F7C42">
        <w:rPr>
          <w:rFonts w:ascii="Times New Roman" w:hAnsi="Times New Roman" w:cs="Times New Roman"/>
          <w:b w:val="0"/>
          <w:sz w:val="22"/>
          <w:szCs w:val="22"/>
        </w:rPr>
        <w:t>n°</w:t>
      </w:r>
      <w:r w:rsidRPr="006F7C42">
        <w:rPr>
          <w:rFonts w:ascii="Times New Roman" w:hAnsi="Times New Roman" w:cs="Times New Roman"/>
          <w:b w:val="0"/>
          <w:spacing w:val="8"/>
          <w:sz w:val="22"/>
          <w:szCs w:val="22"/>
        </w:rPr>
        <w:t xml:space="preserve"> </w:t>
      </w:r>
      <w:r w:rsidRPr="006F7C42">
        <w:rPr>
          <w:rFonts w:ascii="Times New Roman" w:hAnsi="Times New Roman" w:cs="Times New Roman"/>
          <w:b w:val="0"/>
          <w:spacing w:val="7"/>
          <w:sz w:val="22"/>
          <w:szCs w:val="22"/>
        </w:rPr>
        <w:t>2</w:t>
      </w:r>
      <w:r w:rsidRPr="006F7C42">
        <w:rPr>
          <w:rFonts w:ascii="Times New Roman" w:hAnsi="Times New Roman" w:cs="Times New Roman"/>
          <w:b w:val="0"/>
          <w:sz w:val="22"/>
          <w:szCs w:val="22"/>
        </w:rPr>
        <w:t>00</w:t>
      </w:r>
      <w:r w:rsidRPr="006F7C42">
        <w:rPr>
          <w:rFonts w:ascii="Times New Roman" w:hAnsi="Times New Roman" w:cs="Times New Roman"/>
          <w:b w:val="0"/>
          <w:spacing w:val="11"/>
          <w:sz w:val="22"/>
          <w:szCs w:val="22"/>
        </w:rPr>
        <w:t>1</w:t>
      </w:r>
      <w:r w:rsidRPr="006F7C42">
        <w:rPr>
          <w:rFonts w:ascii="Times New Roman" w:hAnsi="Times New Roman" w:cs="Times New Roman"/>
          <w:b w:val="0"/>
          <w:spacing w:val="-3"/>
          <w:sz w:val="22"/>
          <w:szCs w:val="22"/>
        </w:rPr>
        <w:t>-</w:t>
      </w:r>
      <w:r w:rsidRPr="006F7C42">
        <w:rPr>
          <w:rFonts w:ascii="Times New Roman" w:hAnsi="Times New Roman" w:cs="Times New Roman"/>
          <w:b w:val="0"/>
          <w:spacing w:val="-2"/>
          <w:sz w:val="22"/>
          <w:szCs w:val="22"/>
        </w:rPr>
        <w:t>9</w:t>
      </w:r>
      <w:r w:rsidRPr="006F7C42">
        <w:rPr>
          <w:rFonts w:ascii="Times New Roman" w:hAnsi="Times New Roman" w:cs="Times New Roman"/>
          <w:b w:val="0"/>
          <w:sz w:val="22"/>
          <w:szCs w:val="22"/>
        </w:rPr>
        <w:t>5</w:t>
      </w:r>
      <w:r w:rsidRPr="006F7C42">
        <w:rPr>
          <w:rFonts w:ascii="Times New Roman" w:hAnsi="Times New Roman" w:cs="Times New Roman"/>
          <w:b w:val="0"/>
          <w:spacing w:val="3"/>
          <w:sz w:val="22"/>
          <w:szCs w:val="22"/>
        </w:rPr>
        <w:t xml:space="preserve"> </w:t>
      </w:r>
      <w:r w:rsidRPr="006F7C42">
        <w:rPr>
          <w:rFonts w:ascii="Times New Roman" w:hAnsi="Times New Roman" w:cs="Times New Roman"/>
          <w:b w:val="0"/>
          <w:sz w:val="22"/>
          <w:szCs w:val="22"/>
        </w:rPr>
        <w:t>d</w:t>
      </w:r>
      <w:r w:rsidRPr="006F7C42">
        <w:rPr>
          <w:rFonts w:ascii="Times New Roman" w:hAnsi="Times New Roman" w:cs="Times New Roman"/>
          <w:b w:val="0"/>
          <w:spacing w:val="-29"/>
          <w:sz w:val="22"/>
          <w:szCs w:val="22"/>
        </w:rPr>
        <w:t xml:space="preserve"> </w:t>
      </w:r>
      <w:r w:rsidRPr="006F7C42">
        <w:rPr>
          <w:rFonts w:ascii="Times New Roman" w:hAnsi="Times New Roman" w:cs="Times New Roman"/>
          <w:b w:val="0"/>
          <w:sz w:val="22"/>
          <w:szCs w:val="22"/>
        </w:rPr>
        <w:t>u</w:t>
      </w:r>
      <w:r w:rsidRPr="006F7C42">
        <w:rPr>
          <w:rFonts w:ascii="Times New Roman" w:hAnsi="Times New Roman" w:cs="Times New Roman"/>
          <w:b w:val="0"/>
          <w:spacing w:val="13"/>
          <w:sz w:val="22"/>
          <w:szCs w:val="22"/>
        </w:rPr>
        <w:t xml:space="preserve"> </w:t>
      </w:r>
      <w:r w:rsidRPr="006F7C42">
        <w:rPr>
          <w:rFonts w:ascii="Times New Roman" w:hAnsi="Times New Roman" w:cs="Times New Roman"/>
          <w:b w:val="0"/>
          <w:spacing w:val="2"/>
          <w:sz w:val="22"/>
          <w:szCs w:val="22"/>
        </w:rPr>
        <w:t>2</w:t>
      </w:r>
      <w:r w:rsidRPr="006F7C42">
        <w:rPr>
          <w:rFonts w:ascii="Times New Roman" w:hAnsi="Times New Roman" w:cs="Times New Roman"/>
          <w:b w:val="0"/>
          <w:sz w:val="22"/>
          <w:szCs w:val="22"/>
        </w:rPr>
        <w:t>/</w:t>
      </w:r>
      <w:r w:rsidRPr="006F7C42">
        <w:rPr>
          <w:rFonts w:ascii="Times New Roman" w:hAnsi="Times New Roman" w:cs="Times New Roman"/>
          <w:b w:val="0"/>
          <w:spacing w:val="9"/>
          <w:sz w:val="22"/>
          <w:szCs w:val="22"/>
        </w:rPr>
        <w:t>0</w:t>
      </w:r>
      <w:r w:rsidRPr="006F7C42">
        <w:rPr>
          <w:rFonts w:ascii="Times New Roman" w:hAnsi="Times New Roman" w:cs="Times New Roman"/>
          <w:b w:val="0"/>
          <w:spacing w:val="-3"/>
          <w:sz w:val="22"/>
          <w:szCs w:val="22"/>
        </w:rPr>
        <w:t>2</w:t>
      </w:r>
      <w:r w:rsidRPr="006F7C42">
        <w:rPr>
          <w:rFonts w:ascii="Times New Roman" w:hAnsi="Times New Roman" w:cs="Times New Roman"/>
          <w:b w:val="0"/>
          <w:spacing w:val="5"/>
          <w:sz w:val="22"/>
          <w:szCs w:val="22"/>
        </w:rPr>
        <w:t>/</w:t>
      </w:r>
      <w:r w:rsidRPr="006F7C42">
        <w:rPr>
          <w:rFonts w:ascii="Times New Roman" w:hAnsi="Times New Roman" w:cs="Times New Roman"/>
          <w:b w:val="0"/>
          <w:sz w:val="22"/>
          <w:szCs w:val="22"/>
        </w:rPr>
        <w:t>0</w:t>
      </w:r>
      <w:r w:rsidRPr="006F7C42">
        <w:rPr>
          <w:rFonts w:ascii="Times New Roman" w:hAnsi="Times New Roman" w:cs="Times New Roman"/>
          <w:b w:val="0"/>
          <w:spacing w:val="-16"/>
          <w:sz w:val="22"/>
          <w:szCs w:val="22"/>
        </w:rPr>
        <w:t xml:space="preserve"> </w:t>
      </w:r>
      <w:r w:rsidRPr="006F7C42">
        <w:rPr>
          <w:rFonts w:ascii="Times New Roman" w:hAnsi="Times New Roman" w:cs="Times New Roman"/>
          <w:b w:val="0"/>
          <w:w w:val="90"/>
          <w:sz w:val="22"/>
          <w:szCs w:val="22"/>
        </w:rPr>
        <w:t>1</w:t>
      </w:r>
      <w:r w:rsidRPr="006F7C42">
        <w:rPr>
          <w:rFonts w:ascii="Times New Roman" w:hAnsi="Times New Roman" w:cs="Times New Roman"/>
          <w:b w:val="0"/>
          <w:spacing w:val="22"/>
          <w:w w:val="90"/>
          <w:sz w:val="22"/>
          <w:szCs w:val="22"/>
        </w:rPr>
        <w:t xml:space="preserve"> </w:t>
      </w:r>
      <w:r w:rsidRPr="006F7C42">
        <w:rPr>
          <w:rFonts w:ascii="Times New Roman" w:hAnsi="Times New Roman" w:cs="Times New Roman"/>
          <w:b w:val="0"/>
          <w:sz w:val="22"/>
          <w:szCs w:val="22"/>
        </w:rPr>
        <w:t>po</w:t>
      </w:r>
      <w:r w:rsidRPr="006F7C42">
        <w:rPr>
          <w:rFonts w:ascii="Times New Roman" w:hAnsi="Times New Roman" w:cs="Times New Roman"/>
          <w:b w:val="0"/>
          <w:spacing w:val="16"/>
          <w:sz w:val="22"/>
          <w:szCs w:val="22"/>
        </w:rPr>
        <w:t>r</w:t>
      </w:r>
      <w:r w:rsidRPr="006F7C42">
        <w:rPr>
          <w:rFonts w:ascii="Times New Roman" w:hAnsi="Times New Roman" w:cs="Times New Roman"/>
          <w:b w:val="0"/>
          <w:spacing w:val="10"/>
          <w:sz w:val="22"/>
          <w:szCs w:val="22"/>
        </w:rPr>
        <w:t>t</w:t>
      </w:r>
      <w:r w:rsidRPr="006F7C42">
        <w:rPr>
          <w:rFonts w:ascii="Times New Roman" w:hAnsi="Times New Roman" w:cs="Times New Roman"/>
          <w:b w:val="0"/>
          <w:sz w:val="22"/>
          <w:szCs w:val="22"/>
        </w:rPr>
        <w:t>ant</w:t>
      </w:r>
      <w:r w:rsidRPr="006F7C42">
        <w:rPr>
          <w:rFonts w:ascii="Times New Roman" w:hAnsi="Times New Roman" w:cs="Times New Roman"/>
          <w:b w:val="0"/>
          <w:spacing w:val="5"/>
          <w:sz w:val="22"/>
          <w:szCs w:val="22"/>
        </w:rPr>
        <w:t xml:space="preserve"> </w:t>
      </w:r>
      <w:r w:rsidRPr="006F7C42">
        <w:rPr>
          <w:rFonts w:ascii="Times New Roman" w:hAnsi="Times New Roman" w:cs="Times New Roman"/>
          <w:b w:val="0"/>
          <w:sz w:val="22"/>
          <w:szCs w:val="22"/>
        </w:rPr>
        <w:t>adaptation</w:t>
      </w:r>
      <w:r w:rsidRPr="006F7C42">
        <w:rPr>
          <w:rFonts w:ascii="Times New Roman" w:hAnsi="Times New Roman" w:cs="Times New Roman"/>
          <w:b w:val="0"/>
          <w:spacing w:val="22"/>
          <w:sz w:val="22"/>
          <w:szCs w:val="22"/>
        </w:rPr>
        <w:t xml:space="preserve"> </w:t>
      </w:r>
      <w:r w:rsidRPr="006F7C42">
        <w:rPr>
          <w:rFonts w:ascii="Times New Roman" w:hAnsi="Times New Roman" w:cs="Times New Roman"/>
          <w:b w:val="0"/>
          <w:sz w:val="22"/>
          <w:szCs w:val="22"/>
        </w:rPr>
        <w:t>de</w:t>
      </w:r>
      <w:r w:rsidRPr="006F7C42">
        <w:rPr>
          <w:rFonts w:ascii="Times New Roman" w:hAnsi="Times New Roman" w:cs="Times New Roman"/>
          <w:b w:val="0"/>
          <w:spacing w:val="13"/>
          <w:sz w:val="22"/>
          <w:szCs w:val="22"/>
        </w:rPr>
        <w:t xml:space="preserve"> </w:t>
      </w:r>
      <w:r w:rsidRPr="006F7C42">
        <w:rPr>
          <w:rFonts w:ascii="Times New Roman" w:hAnsi="Times New Roman" w:cs="Times New Roman"/>
          <w:b w:val="0"/>
          <w:spacing w:val="17"/>
          <w:sz w:val="22"/>
          <w:szCs w:val="22"/>
        </w:rPr>
        <w:t>l</w:t>
      </w:r>
      <w:r w:rsidRPr="006F7C42">
        <w:rPr>
          <w:rFonts w:ascii="Times New Roman" w:hAnsi="Times New Roman" w:cs="Times New Roman"/>
          <w:b w:val="0"/>
          <w:sz w:val="22"/>
          <w:szCs w:val="22"/>
        </w:rPr>
        <w:t>a</w:t>
      </w:r>
      <w:r w:rsidRPr="006F7C42">
        <w:rPr>
          <w:rFonts w:ascii="Times New Roman" w:hAnsi="Times New Roman" w:cs="Times New Roman"/>
          <w:b w:val="0"/>
          <w:spacing w:val="-4"/>
          <w:sz w:val="22"/>
          <w:szCs w:val="22"/>
        </w:rPr>
        <w:t xml:space="preserve"> </w:t>
      </w:r>
      <w:r w:rsidRPr="006F7C42">
        <w:rPr>
          <w:rFonts w:ascii="Times New Roman" w:hAnsi="Times New Roman" w:cs="Times New Roman"/>
          <w:b w:val="0"/>
          <w:sz w:val="22"/>
          <w:szCs w:val="22"/>
        </w:rPr>
        <w:t>valeur</w:t>
      </w:r>
      <w:r w:rsidRPr="006F7C42">
        <w:rPr>
          <w:rFonts w:ascii="Times New Roman" w:hAnsi="Times New Roman" w:cs="Times New Roman"/>
          <w:b w:val="0"/>
          <w:spacing w:val="15"/>
          <w:sz w:val="22"/>
          <w:szCs w:val="22"/>
        </w:rPr>
        <w:t xml:space="preserve"> </w:t>
      </w:r>
      <w:r w:rsidRPr="006F7C42">
        <w:rPr>
          <w:rFonts w:ascii="Times New Roman" w:hAnsi="Times New Roman" w:cs="Times New Roman"/>
          <w:b w:val="0"/>
          <w:sz w:val="22"/>
          <w:szCs w:val="22"/>
        </w:rPr>
        <w:t>en</w:t>
      </w:r>
      <w:r w:rsidRPr="006F7C42">
        <w:rPr>
          <w:rFonts w:ascii="Times New Roman" w:hAnsi="Times New Roman" w:cs="Times New Roman"/>
          <w:b w:val="0"/>
          <w:spacing w:val="17"/>
          <w:sz w:val="22"/>
          <w:szCs w:val="22"/>
        </w:rPr>
        <w:t xml:space="preserve"> </w:t>
      </w:r>
      <w:r w:rsidRPr="006F7C42">
        <w:rPr>
          <w:rFonts w:ascii="Times New Roman" w:hAnsi="Times New Roman" w:cs="Times New Roman"/>
          <w:b w:val="0"/>
          <w:sz w:val="22"/>
          <w:szCs w:val="22"/>
        </w:rPr>
        <w:t>eur</w:t>
      </w:r>
      <w:r w:rsidRPr="006F7C42">
        <w:rPr>
          <w:rFonts w:ascii="Times New Roman" w:hAnsi="Times New Roman" w:cs="Times New Roman"/>
          <w:b w:val="0"/>
          <w:spacing w:val="6"/>
          <w:sz w:val="22"/>
          <w:szCs w:val="22"/>
        </w:rPr>
        <w:t>o</w:t>
      </w:r>
      <w:r w:rsidRPr="006F7C42">
        <w:rPr>
          <w:rFonts w:ascii="Times New Roman" w:hAnsi="Times New Roman" w:cs="Times New Roman"/>
          <w:b w:val="0"/>
          <w:sz w:val="22"/>
          <w:szCs w:val="22"/>
        </w:rPr>
        <w:t>s</w:t>
      </w:r>
      <w:r w:rsidRPr="006F7C42">
        <w:rPr>
          <w:rFonts w:ascii="Times New Roman" w:hAnsi="Times New Roman" w:cs="Times New Roman"/>
          <w:b w:val="0"/>
          <w:spacing w:val="-1"/>
          <w:sz w:val="22"/>
          <w:szCs w:val="22"/>
        </w:rPr>
        <w:t xml:space="preserve"> </w:t>
      </w:r>
      <w:r w:rsidRPr="006F7C42">
        <w:rPr>
          <w:rFonts w:ascii="Times New Roman" w:hAnsi="Times New Roman" w:cs="Times New Roman"/>
          <w:b w:val="0"/>
          <w:sz w:val="22"/>
          <w:szCs w:val="22"/>
        </w:rPr>
        <w:t>de</w:t>
      </w:r>
      <w:r w:rsidRPr="006F7C42">
        <w:rPr>
          <w:rFonts w:ascii="Times New Roman" w:hAnsi="Times New Roman" w:cs="Times New Roman"/>
          <w:b w:val="0"/>
          <w:spacing w:val="2"/>
          <w:sz w:val="22"/>
          <w:szCs w:val="22"/>
        </w:rPr>
        <w:t xml:space="preserve"> </w:t>
      </w:r>
      <w:r w:rsidRPr="006F7C42">
        <w:rPr>
          <w:rFonts w:ascii="Times New Roman" w:hAnsi="Times New Roman" w:cs="Times New Roman"/>
          <w:b w:val="0"/>
          <w:sz w:val="22"/>
          <w:szCs w:val="22"/>
        </w:rPr>
        <w:t>c</w:t>
      </w:r>
      <w:r w:rsidRPr="006F7C42">
        <w:rPr>
          <w:rFonts w:ascii="Times New Roman" w:hAnsi="Times New Roman" w:cs="Times New Roman"/>
          <w:b w:val="0"/>
          <w:spacing w:val="-3"/>
          <w:sz w:val="22"/>
          <w:szCs w:val="22"/>
        </w:rPr>
        <w:t>e</w:t>
      </w:r>
      <w:r w:rsidRPr="006F7C42">
        <w:rPr>
          <w:rFonts w:ascii="Times New Roman" w:hAnsi="Times New Roman" w:cs="Times New Roman"/>
          <w:b w:val="0"/>
          <w:sz w:val="22"/>
          <w:szCs w:val="22"/>
        </w:rPr>
        <w:t>rtains</w:t>
      </w:r>
      <w:r w:rsidRPr="006F7C42">
        <w:rPr>
          <w:rFonts w:ascii="Times New Roman" w:hAnsi="Times New Roman" w:cs="Times New Roman"/>
          <w:b w:val="0"/>
          <w:spacing w:val="10"/>
          <w:sz w:val="22"/>
          <w:szCs w:val="22"/>
        </w:rPr>
        <w:t xml:space="preserve"> </w:t>
      </w:r>
      <w:r w:rsidRPr="006F7C42">
        <w:rPr>
          <w:rFonts w:ascii="Times New Roman" w:hAnsi="Times New Roman" w:cs="Times New Roman"/>
          <w:b w:val="0"/>
          <w:sz w:val="22"/>
          <w:szCs w:val="22"/>
        </w:rPr>
        <w:t>montant</w:t>
      </w:r>
      <w:r w:rsidRPr="006F7C42">
        <w:rPr>
          <w:rFonts w:ascii="Times New Roman" w:hAnsi="Times New Roman" w:cs="Times New Roman"/>
          <w:b w:val="0"/>
          <w:spacing w:val="-29"/>
          <w:sz w:val="22"/>
          <w:szCs w:val="22"/>
        </w:rPr>
        <w:t xml:space="preserve"> </w:t>
      </w:r>
      <w:r w:rsidRPr="006F7C42">
        <w:rPr>
          <w:rFonts w:ascii="Times New Roman" w:hAnsi="Times New Roman" w:cs="Times New Roman"/>
          <w:b w:val="0"/>
          <w:sz w:val="22"/>
          <w:szCs w:val="22"/>
        </w:rPr>
        <w:t>s</w:t>
      </w:r>
      <w:r w:rsidRPr="006F7C42">
        <w:rPr>
          <w:rFonts w:ascii="Times New Roman" w:hAnsi="Times New Roman" w:cs="Times New Roman"/>
          <w:b w:val="0"/>
          <w:spacing w:val="-7"/>
          <w:sz w:val="22"/>
          <w:szCs w:val="22"/>
        </w:rPr>
        <w:t xml:space="preserve"> </w:t>
      </w:r>
      <w:r w:rsidRPr="006F7C42">
        <w:rPr>
          <w:rFonts w:ascii="Times New Roman" w:hAnsi="Times New Roman" w:cs="Times New Roman"/>
          <w:b w:val="0"/>
          <w:sz w:val="22"/>
          <w:szCs w:val="22"/>
        </w:rPr>
        <w:t>exprimés</w:t>
      </w:r>
      <w:r w:rsidRPr="006F7C42">
        <w:rPr>
          <w:rFonts w:ascii="Times New Roman" w:hAnsi="Times New Roman" w:cs="Times New Roman"/>
          <w:b w:val="0"/>
          <w:spacing w:val="19"/>
          <w:sz w:val="22"/>
          <w:szCs w:val="22"/>
        </w:rPr>
        <w:t xml:space="preserve"> </w:t>
      </w:r>
      <w:r w:rsidRPr="006F7C42">
        <w:rPr>
          <w:rFonts w:ascii="Times New Roman" w:hAnsi="Times New Roman" w:cs="Times New Roman"/>
          <w:b w:val="0"/>
          <w:sz w:val="22"/>
          <w:szCs w:val="22"/>
        </w:rPr>
        <w:t>en</w:t>
      </w:r>
      <w:r w:rsidRPr="006F7C42">
        <w:rPr>
          <w:rFonts w:ascii="Times New Roman" w:hAnsi="Times New Roman" w:cs="Times New Roman"/>
          <w:b w:val="0"/>
          <w:spacing w:val="12"/>
          <w:sz w:val="22"/>
          <w:szCs w:val="22"/>
        </w:rPr>
        <w:t xml:space="preserve"> </w:t>
      </w:r>
      <w:r w:rsidRPr="006F7C42">
        <w:rPr>
          <w:rFonts w:ascii="Times New Roman" w:hAnsi="Times New Roman" w:cs="Times New Roman"/>
          <w:b w:val="0"/>
          <w:sz w:val="22"/>
          <w:szCs w:val="22"/>
        </w:rPr>
        <w:t>francs (d</w:t>
      </w:r>
      <w:r w:rsidRPr="006F7C42">
        <w:rPr>
          <w:rFonts w:ascii="Times New Roman" w:hAnsi="Times New Roman" w:cs="Times New Roman"/>
          <w:b w:val="0"/>
          <w:spacing w:val="9"/>
          <w:sz w:val="22"/>
          <w:szCs w:val="22"/>
        </w:rPr>
        <w:t>i</w:t>
      </w:r>
      <w:r w:rsidRPr="006F7C42">
        <w:rPr>
          <w:rFonts w:ascii="Times New Roman" w:hAnsi="Times New Roman" w:cs="Times New Roman"/>
          <w:b w:val="0"/>
          <w:spacing w:val="-3"/>
          <w:sz w:val="22"/>
          <w:szCs w:val="22"/>
        </w:rPr>
        <w:t>s</w:t>
      </w:r>
      <w:r w:rsidRPr="006F7C42">
        <w:rPr>
          <w:rFonts w:ascii="Times New Roman" w:hAnsi="Times New Roman" w:cs="Times New Roman"/>
          <w:b w:val="0"/>
          <w:sz w:val="22"/>
          <w:szCs w:val="22"/>
        </w:rPr>
        <w:t>p</w:t>
      </w:r>
      <w:r w:rsidRPr="006F7C42">
        <w:rPr>
          <w:rFonts w:ascii="Times New Roman" w:hAnsi="Times New Roman" w:cs="Times New Roman"/>
          <w:b w:val="0"/>
          <w:spacing w:val="12"/>
          <w:sz w:val="22"/>
          <w:szCs w:val="22"/>
        </w:rPr>
        <w:t>o</w:t>
      </w:r>
      <w:r w:rsidRPr="006F7C42">
        <w:rPr>
          <w:rFonts w:ascii="Times New Roman" w:hAnsi="Times New Roman" w:cs="Times New Roman"/>
          <w:b w:val="0"/>
          <w:spacing w:val="1"/>
          <w:sz w:val="22"/>
          <w:szCs w:val="22"/>
        </w:rPr>
        <w:t>s</w:t>
      </w:r>
      <w:r w:rsidRPr="006F7C42">
        <w:rPr>
          <w:rFonts w:ascii="Times New Roman" w:hAnsi="Times New Roman" w:cs="Times New Roman"/>
          <w:b w:val="0"/>
          <w:sz w:val="22"/>
          <w:szCs w:val="22"/>
        </w:rPr>
        <w:t>ition</w:t>
      </w:r>
      <w:r w:rsidRPr="006F7C42">
        <w:rPr>
          <w:rFonts w:ascii="Times New Roman" w:hAnsi="Times New Roman" w:cs="Times New Roman"/>
          <w:b w:val="0"/>
          <w:spacing w:val="-29"/>
          <w:sz w:val="22"/>
          <w:szCs w:val="22"/>
        </w:rPr>
        <w:t xml:space="preserve"> </w:t>
      </w:r>
      <w:r w:rsidRPr="006F7C42">
        <w:rPr>
          <w:rFonts w:ascii="Times New Roman" w:hAnsi="Times New Roman" w:cs="Times New Roman"/>
          <w:b w:val="0"/>
          <w:sz w:val="22"/>
          <w:szCs w:val="22"/>
        </w:rPr>
        <w:t>s</w:t>
      </w:r>
      <w:r w:rsidRPr="006F7C42">
        <w:rPr>
          <w:rFonts w:ascii="Times New Roman" w:hAnsi="Times New Roman" w:cs="Times New Roman"/>
          <w:b w:val="0"/>
          <w:spacing w:val="-1"/>
          <w:sz w:val="22"/>
          <w:szCs w:val="22"/>
        </w:rPr>
        <w:t xml:space="preserve"> </w:t>
      </w:r>
      <w:r w:rsidRPr="006F7C42">
        <w:rPr>
          <w:rFonts w:ascii="Times New Roman" w:hAnsi="Times New Roman" w:cs="Times New Roman"/>
          <w:b w:val="0"/>
          <w:sz w:val="22"/>
          <w:szCs w:val="22"/>
        </w:rPr>
        <w:t>rég</w:t>
      </w:r>
      <w:r w:rsidRPr="006F7C42">
        <w:rPr>
          <w:rFonts w:ascii="Times New Roman" w:hAnsi="Times New Roman" w:cs="Times New Roman"/>
          <w:b w:val="0"/>
          <w:spacing w:val="21"/>
          <w:sz w:val="22"/>
          <w:szCs w:val="22"/>
        </w:rPr>
        <w:t>l</w:t>
      </w:r>
      <w:r w:rsidRPr="006F7C42">
        <w:rPr>
          <w:rFonts w:ascii="Times New Roman" w:hAnsi="Times New Roman" w:cs="Times New Roman"/>
          <w:b w:val="0"/>
          <w:sz w:val="22"/>
          <w:szCs w:val="22"/>
        </w:rPr>
        <w:t>eme</w:t>
      </w:r>
      <w:r w:rsidRPr="006F7C42">
        <w:rPr>
          <w:rFonts w:ascii="Times New Roman" w:hAnsi="Times New Roman" w:cs="Times New Roman"/>
          <w:b w:val="0"/>
          <w:spacing w:val="14"/>
          <w:sz w:val="22"/>
          <w:szCs w:val="22"/>
        </w:rPr>
        <w:t>n</w:t>
      </w:r>
      <w:r w:rsidRPr="006F7C42">
        <w:rPr>
          <w:rFonts w:ascii="Times New Roman" w:hAnsi="Times New Roman" w:cs="Times New Roman"/>
          <w:b w:val="0"/>
          <w:spacing w:val="9"/>
          <w:sz w:val="22"/>
          <w:szCs w:val="22"/>
        </w:rPr>
        <w:t>t</w:t>
      </w:r>
      <w:r w:rsidRPr="006F7C42">
        <w:rPr>
          <w:rFonts w:ascii="Times New Roman" w:hAnsi="Times New Roman" w:cs="Times New Roman"/>
          <w:b w:val="0"/>
          <w:sz w:val="22"/>
          <w:szCs w:val="22"/>
        </w:rPr>
        <w:t>a</w:t>
      </w:r>
      <w:r w:rsidRPr="006F7C42">
        <w:rPr>
          <w:rFonts w:ascii="Times New Roman" w:hAnsi="Times New Roman" w:cs="Times New Roman"/>
          <w:b w:val="0"/>
          <w:spacing w:val="15"/>
          <w:sz w:val="22"/>
          <w:szCs w:val="22"/>
        </w:rPr>
        <w:t>i</w:t>
      </w:r>
      <w:r w:rsidRPr="006F7C42">
        <w:rPr>
          <w:rFonts w:ascii="Times New Roman" w:hAnsi="Times New Roman" w:cs="Times New Roman"/>
          <w:b w:val="0"/>
          <w:spacing w:val="1"/>
          <w:sz w:val="22"/>
          <w:szCs w:val="22"/>
        </w:rPr>
        <w:t>r</w:t>
      </w:r>
      <w:r w:rsidRPr="006F7C42">
        <w:rPr>
          <w:rFonts w:ascii="Times New Roman" w:hAnsi="Times New Roman" w:cs="Times New Roman"/>
          <w:b w:val="0"/>
          <w:sz w:val="22"/>
          <w:szCs w:val="22"/>
        </w:rPr>
        <w:t>es</w:t>
      </w:r>
      <w:r w:rsidRPr="006F7C42">
        <w:rPr>
          <w:rFonts w:ascii="Times New Roman" w:hAnsi="Times New Roman" w:cs="Times New Roman"/>
          <w:b w:val="0"/>
          <w:spacing w:val="23"/>
          <w:sz w:val="22"/>
          <w:szCs w:val="22"/>
        </w:rPr>
        <w:t xml:space="preserve"> </w:t>
      </w:r>
      <w:r w:rsidRPr="006F7C42">
        <w:rPr>
          <w:rFonts w:ascii="Times New Roman" w:hAnsi="Times New Roman" w:cs="Times New Roman"/>
          <w:b w:val="0"/>
          <w:sz w:val="22"/>
          <w:szCs w:val="22"/>
        </w:rPr>
        <w:t>issues</w:t>
      </w:r>
      <w:r w:rsidRPr="006F7C42">
        <w:rPr>
          <w:rFonts w:ascii="Times New Roman" w:hAnsi="Times New Roman" w:cs="Times New Roman"/>
          <w:b w:val="0"/>
          <w:spacing w:val="17"/>
          <w:sz w:val="22"/>
          <w:szCs w:val="22"/>
        </w:rPr>
        <w:t xml:space="preserve"> </w:t>
      </w:r>
      <w:r w:rsidRPr="006F7C42">
        <w:rPr>
          <w:rFonts w:ascii="Times New Roman" w:hAnsi="Times New Roman" w:cs="Times New Roman"/>
          <w:b w:val="0"/>
          <w:sz w:val="22"/>
          <w:szCs w:val="22"/>
        </w:rPr>
        <w:t>de</w:t>
      </w:r>
      <w:r w:rsidRPr="006F7C42">
        <w:rPr>
          <w:rFonts w:ascii="Times New Roman" w:hAnsi="Times New Roman" w:cs="Times New Roman"/>
          <w:b w:val="0"/>
          <w:spacing w:val="8"/>
          <w:sz w:val="22"/>
          <w:szCs w:val="22"/>
        </w:rPr>
        <w:t xml:space="preserve"> </w:t>
      </w:r>
      <w:r w:rsidRPr="006F7C42">
        <w:rPr>
          <w:rFonts w:ascii="Times New Roman" w:hAnsi="Times New Roman" w:cs="Times New Roman"/>
          <w:b w:val="0"/>
          <w:sz w:val="22"/>
          <w:szCs w:val="22"/>
        </w:rPr>
        <w:t>décrets</w:t>
      </w:r>
      <w:r w:rsidRPr="006F7C42">
        <w:rPr>
          <w:rFonts w:ascii="Times New Roman" w:hAnsi="Times New Roman" w:cs="Times New Roman"/>
          <w:b w:val="0"/>
          <w:spacing w:val="19"/>
          <w:sz w:val="22"/>
          <w:szCs w:val="22"/>
        </w:rPr>
        <w:t xml:space="preserve"> </w:t>
      </w:r>
      <w:r w:rsidRPr="006F7C42">
        <w:rPr>
          <w:rFonts w:ascii="Times New Roman" w:hAnsi="Times New Roman" w:cs="Times New Roman"/>
          <w:b w:val="0"/>
          <w:sz w:val="22"/>
          <w:szCs w:val="22"/>
        </w:rPr>
        <w:t>en</w:t>
      </w:r>
      <w:r w:rsidRPr="006F7C42">
        <w:rPr>
          <w:rFonts w:ascii="Times New Roman" w:hAnsi="Times New Roman" w:cs="Times New Roman"/>
          <w:b w:val="0"/>
          <w:spacing w:val="19"/>
          <w:sz w:val="22"/>
          <w:szCs w:val="22"/>
        </w:rPr>
        <w:t xml:space="preserve"> </w:t>
      </w:r>
      <w:r w:rsidRPr="006F7C42">
        <w:rPr>
          <w:rFonts w:ascii="Times New Roman" w:hAnsi="Times New Roman" w:cs="Times New Roman"/>
          <w:b w:val="0"/>
          <w:sz w:val="22"/>
          <w:szCs w:val="22"/>
        </w:rPr>
        <w:t>Conseil</w:t>
      </w:r>
      <w:r w:rsidRPr="006F7C42">
        <w:rPr>
          <w:rFonts w:ascii="Times New Roman" w:hAnsi="Times New Roman" w:cs="Times New Roman"/>
          <w:b w:val="0"/>
          <w:spacing w:val="26"/>
          <w:sz w:val="22"/>
          <w:szCs w:val="22"/>
        </w:rPr>
        <w:t xml:space="preserve"> </w:t>
      </w:r>
      <w:r w:rsidRPr="006F7C42">
        <w:rPr>
          <w:rFonts w:ascii="Times New Roman" w:hAnsi="Times New Roman" w:cs="Times New Roman"/>
          <w:b w:val="0"/>
          <w:sz w:val="22"/>
          <w:szCs w:val="22"/>
        </w:rPr>
        <w:t>d'Etat</w:t>
      </w:r>
      <w:r w:rsidRPr="006F7C42">
        <w:rPr>
          <w:rFonts w:ascii="Times New Roman" w:hAnsi="Times New Roman" w:cs="Times New Roman"/>
          <w:b w:val="0"/>
          <w:spacing w:val="20"/>
          <w:sz w:val="22"/>
          <w:szCs w:val="22"/>
        </w:rPr>
        <w:t xml:space="preserve"> </w:t>
      </w:r>
      <w:r w:rsidRPr="006F7C42">
        <w:rPr>
          <w:rFonts w:ascii="Times New Roman" w:hAnsi="Times New Roman" w:cs="Times New Roman"/>
          <w:b w:val="0"/>
          <w:sz w:val="22"/>
          <w:szCs w:val="22"/>
        </w:rPr>
        <w:t>:</w:t>
      </w:r>
      <w:r w:rsidRPr="006F7C42">
        <w:rPr>
          <w:rFonts w:ascii="Times New Roman" w:hAnsi="Times New Roman" w:cs="Times New Roman"/>
          <w:b w:val="0"/>
          <w:spacing w:val="-8"/>
          <w:sz w:val="22"/>
          <w:szCs w:val="22"/>
        </w:rPr>
        <w:t xml:space="preserve"> </w:t>
      </w:r>
      <w:r w:rsidRPr="006F7C42">
        <w:rPr>
          <w:rFonts w:ascii="Times New Roman" w:hAnsi="Times New Roman" w:cs="Times New Roman"/>
          <w:b w:val="0"/>
          <w:sz w:val="22"/>
          <w:szCs w:val="22"/>
        </w:rPr>
        <w:t>ministère</w:t>
      </w:r>
      <w:r w:rsidRPr="006F7C42">
        <w:rPr>
          <w:rFonts w:ascii="Times New Roman" w:hAnsi="Times New Roman" w:cs="Times New Roman"/>
          <w:b w:val="0"/>
          <w:spacing w:val="30"/>
          <w:sz w:val="22"/>
          <w:szCs w:val="22"/>
        </w:rPr>
        <w:t xml:space="preserve"> </w:t>
      </w:r>
      <w:r w:rsidRPr="006F7C42">
        <w:rPr>
          <w:rFonts w:ascii="Times New Roman" w:hAnsi="Times New Roman" w:cs="Times New Roman"/>
          <w:b w:val="0"/>
          <w:sz w:val="22"/>
          <w:szCs w:val="22"/>
        </w:rPr>
        <w:t>de</w:t>
      </w:r>
      <w:r w:rsidRPr="006F7C42">
        <w:rPr>
          <w:rFonts w:ascii="Times New Roman" w:hAnsi="Times New Roman" w:cs="Times New Roman"/>
          <w:b w:val="0"/>
          <w:spacing w:val="20"/>
          <w:sz w:val="22"/>
          <w:szCs w:val="22"/>
        </w:rPr>
        <w:t xml:space="preserve"> </w:t>
      </w:r>
      <w:r w:rsidRPr="006F7C42">
        <w:rPr>
          <w:rFonts w:ascii="Times New Roman" w:hAnsi="Times New Roman" w:cs="Times New Roman"/>
          <w:b w:val="0"/>
          <w:sz w:val="22"/>
          <w:szCs w:val="22"/>
        </w:rPr>
        <w:t>l'</w:t>
      </w:r>
      <w:r w:rsidRPr="006F7C42">
        <w:rPr>
          <w:rFonts w:ascii="Times New Roman" w:hAnsi="Times New Roman" w:cs="Times New Roman"/>
          <w:b w:val="0"/>
          <w:spacing w:val="2"/>
          <w:sz w:val="22"/>
          <w:szCs w:val="22"/>
        </w:rPr>
        <w:t>é</w:t>
      </w:r>
      <w:r w:rsidRPr="006F7C42">
        <w:rPr>
          <w:rFonts w:ascii="Times New Roman" w:hAnsi="Times New Roman" w:cs="Times New Roman"/>
          <w:b w:val="0"/>
          <w:spacing w:val="-3"/>
          <w:sz w:val="22"/>
          <w:szCs w:val="22"/>
        </w:rPr>
        <w:t>c</w:t>
      </w:r>
      <w:r w:rsidRPr="006F7C42">
        <w:rPr>
          <w:rFonts w:ascii="Times New Roman" w:hAnsi="Times New Roman" w:cs="Times New Roman"/>
          <w:b w:val="0"/>
          <w:sz w:val="22"/>
          <w:szCs w:val="22"/>
        </w:rPr>
        <w:t>onomie,</w:t>
      </w:r>
      <w:r w:rsidRPr="006F7C42">
        <w:rPr>
          <w:rFonts w:ascii="Times New Roman" w:hAnsi="Times New Roman" w:cs="Times New Roman"/>
          <w:b w:val="0"/>
          <w:spacing w:val="27"/>
          <w:sz w:val="22"/>
          <w:szCs w:val="22"/>
        </w:rPr>
        <w:t xml:space="preserve"> </w:t>
      </w:r>
      <w:r w:rsidRPr="00F23462">
        <w:rPr>
          <w:rFonts w:ascii="Times New Roman" w:hAnsi="Times New Roman" w:cs="Times New Roman"/>
          <w:b w:val="0"/>
          <w:spacing w:val="-2"/>
          <w:sz w:val="22"/>
          <w:szCs w:val="22"/>
        </w:rPr>
        <w:t>des finances et de l'industrie) (Arrêté de promulgation n° 75 DRCL du 16/02/01 ; JOPF 1/03/01, p. 533) ;</w:t>
      </w:r>
    </w:p>
    <w:p w14:paraId="38683D02" w14:textId="77777777" w:rsidR="000819C7" w:rsidRPr="00F23462" w:rsidRDefault="000819C7" w:rsidP="000819C7">
      <w:pPr>
        <w:pStyle w:val="Titre"/>
        <w:ind w:left="142" w:hanging="142"/>
        <w:jc w:val="both"/>
        <w:rPr>
          <w:rFonts w:ascii="Times New Roman" w:hAnsi="Times New Roman" w:cs="Times New Roman"/>
          <w:b w:val="0"/>
          <w:spacing w:val="-2"/>
          <w:sz w:val="22"/>
          <w:szCs w:val="22"/>
        </w:rPr>
      </w:pPr>
      <w:r w:rsidRPr="00F23462">
        <w:rPr>
          <w:rFonts w:ascii="Times New Roman" w:hAnsi="Times New Roman" w:cs="Times New Roman"/>
          <w:b w:val="0"/>
          <w:spacing w:val="-2"/>
          <w:sz w:val="22"/>
          <w:szCs w:val="22"/>
        </w:rPr>
        <w:t xml:space="preserve">- Arrêté n° </w:t>
      </w:r>
      <w:smartTag w:uri="urn:schemas-microsoft-com:office:smarttags" w:element="metricconverter">
        <w:smartTagPr>
          <w:attr w:name="ProductID" w:val="1262 CM"/>
        </w:smartTagPr>
        <w:r w:rsidRPr="00F23462">
          <w:rPr>
            <w:rFonts w:ascii="Times New Roman" w:hAnsi="Times New Roman" w:cs="Times New Roman"/>
            <w:b w:val="0"/>
            <w:spacing w:val="-2"/>
            <w:sz w:val="22"/>
            <w:szCs w:val="22"/>
          </w:rPr>
          <w:t>1262 CM</w:t>
        </w:r>
      </w:smartTag>
      <w:r w:rsidRPr="00F23462">
        <w:rPr>
          <w:rFonts w:ascii="Times New Roman" w:hAnsi="Times New Roman" w:cs="Times New Roman"/>
          <w:b w:val="0"/>
          <w:spacing w:val="-2"/>
          <w:sz w:val="22"/>
          <w:szCs w:val="22"/>
        </w:rPr>
        <w:t xml:space="preserve"> du 29/07/2010 portant modification de l’article R.321-1 du code des assurances (JOPF 05/08/10, p. 3542) ;</w:t>
      </w:r>
    </w:p>
    <w:p w14:paraId="11F942FB" w14:textId="77777777" w:rsidR="000819C7" w:rsidRPr="00F23462" w:rsidRDefault="000819C7" w:rsidP="000819C7">
      <w:pPr>
        <w:pStyle w:val="Titre"/>
        <w:ind w:left="142" w:hanging="142"/>
        <w:jc w:val="both"/>
        <w:rPr>
          <w:rFonts w:ascii="Times New Roman" w:hAnsi="Times New Roman" w:cs="Times New Roman"/>
          <w:b w:val="0"/>
          <w:spacing w:val="-2"/>
          <w:sz w:val="22"/>
          <w:szCs w:val="22"/>
        </w:rPr>
      </w:pPr>
      <w:r w:rsidRPr="00F23462">
        <w:rPr>
          <w:rFonts w:ascii="Times New Roman" w:hAnsi="Times New Roman" w:cs="Times New Roman"/>
          <w:b w:val="0"/>
          <w:spacing w:val="-2"/>
          <w:sz w:val="22"/>
          <w:szCs w:val="22"/>
        </w:rPr>
        <w:t>- Arrêté n° 2314 CM du 01/12/2017 portant modification de la partie réglementaire du code des assurances au livre Ier titre Ier (JOPF 08/12/2017, p.18289) ;</w:t>
      </w:r>
    </w:p>
    <w:p w14:paraId="228B5514" w14:textId="77777777" w:rsidR="000819C7" w:rsidRPr="00F23462" w:rsidRDefault="000819C7" w:rsidP="00F23462">
      <w:pPr>
        <w:pStyle w:val="Titre"/>
        <w:ind w:left="142" w:hanging="142"/>
        <w:jc w:val="both"/>
        <w:rPr>
          <w:rFonts w:ascii="Times New Roman" w:hAnsi="Times New Roman" w:cs="Times New Roman"/>
          <w:b w:val="0"/>
          <w:spacing w:val="-2"/>
          <w:sz w:val="22"/>
          <w:szCs w:val="22"/>
        </w:rPr>
      </w:pPr>
      <w:r w:rsidRPr="00F23462">
        <w:rPr>
          <w:rFonts w:ascii="Times New Roman" w:hAnsi="Times New Roman" w:cs="Times New Roman"/>
          <w:b w:val="0"/>
          <w:spacing w:val="-2"/>
          <w:sz w:val="22"/>
          <w:szCs w:val="22"/>
        </w:rPr>
        <w:t>- Arrêté n° 1050 CM du 22 juin 2022 portant modification de l'article R. 322-4 du code des assurances (JOPF 28/06/2022, p.13971) ;</w:t>
      </w:r>
    </w:p>
    <w:p w14:paraId="564B9517" w14:textId="7C6CD8F2" w:rsidR="000819C7" w:rsidRPr="00F23462" w:rsidRDefault="000819C7" w:rsidP="00F23462">
      <w:pPr>
        <w:pStyle w:val="Titre"/>
        <w:ind w:left="142" w:hanging="142"/>
        <w:jc w:val="both"/>
        <w:rPr>
          <w:rFonts w:ascii="Times New Roman" w:hAnsi="Times New Roman" w:cs="Times New Roman"/>
          <w:b w:val="0"/>
          <w:spacing w:val="-2"/>
          <w:sz w:val="22"/>
          <w:szCs w:val="22"/>
        </w:rPr>
      </w:pPr>
      <w:r w:rsidRPr="00F23462">
        <w:rPr>
          <w:rFonts w:ascii="Times New Roman" w:hAnsi="Times New Roman" w:cs="Times New Roman"/>
          <w:b w:val="0"/>
          <w:spacing w:val="-2"/>
          <w:sz w:val="22"/>
          <w:szCs w:val="22"/>
        </w:rPr>
        <w:t>- Arrêté n° 1259 CM du 25 juillet 2023 portant modification des articles R. 321-8 et R. 321-9 du code des assurances (JOPF 2023 n° 60 du 28/07/2023, p.16461)</w:t>
      </w:r>
      <w:r w:rsidR="008525D6" w:rsidRPr="00F23462">
        <w:rPr>
          <w:rFonts w:ascii="Times New Roman" w:hAnsi="Times New Roman" w:cs="Times New Roman"/>
          <w:b w:val="0"/>
          <w:spacing w:val="-2"/>
          <w:sz w:val="22"/>
          <w:szCs w:val="22"/>
        </w:rPr>
        <w:t> ;</w:t>
      </w:r>
    </w:p>
    <w:p w14:paraId="77E018BC" w14:textId="71314BFF" w:rsidR="008525D6" w:rsidRPr="00F23462" w:rsidRDefault="008525D6" w:rsidP="00F23462">
      <w:pPr>
        <w:pStyle w:val="Titre"/>
        <w:ind w:left="142" w:hanging="142"/>
        <w:jc w:val="both"/>
        <w:rPr>
          <w:rFonts w:ascii="Times New Roman" w:hAnsi="Times New Roman" w:cs="Times New Roman"/>
          <w:b w:val="0"/>
          <w:spacing w:val="-2"/>
          <w:sz w:val="22"/>
          <w:szCs w:val="22"/>
        </w:rPr>
      </w:pPr>
      <w:r w:rsidRPr="00F23462">
        <w:rPr>
          <w:rFonts w:ascii="Times New Roman" w:hAnsi="Times New Roman" w:cs="Times New Roman"/>
          <w:b w:val="0"/>
          <w:spacing w:val="-2"/>
          <w:sz w:val="22"/>
          <w:szCs w:val="22"/>
        </w:rPr>
        <w:t>- Arrêté n° 1177 CM du 25 juillet 2024 modifiant la partie réglementaire du livre III du code des assurances et fixant la composition et le fonctionnement du comités des assurances (JOPF 2024 n° 84 du 31/07/2024, p. 12489).</w:t>
      </w:r>
    </w:p>
    <w:p w14:paraId="75F039DE" w14:textId="77777777" w:rsidR="000819C7" w:rsidRPr="00F23462" w:rsidRDefault="000819C7" w:rsidP="00F23462">
      <w:pPr>
        <w:pStyle w:val="Titre"/>
        <w:ind w:left="142" w:hanging="142"/>
        <w:jc w:val="both"/>
        <w:rPr>
          <w:rFonts w:ascii="Times New Roman" w:hAnsi="Times New Roman" w:cs="Times New Roman"/>
          <w:b w:val="0"/>
          <w:spacing w:val="-2"/>
          <w:sz w:val="22"/>
          <w:szCs w:val="22"/>
        </w:rPr>
      </w:pPr>
      <w:r w:rsidRPr="00F23462">
        <w:rPr>
          <w:rFonts w:ascii="Times New Roman" w:hAnsi="Times New Roman" w:cs="Times New Roman"/>
          <w:b w:val="0"/>
          <w:spacing w:val="-2"/>
          <w:sz w:val="22"/>
          <w:szCs w:val="22"/>
        </w:rPr>
        <w:t>-</w:t>
      </w:r>
      <w:r w:rsidRPr="00F23462">
        <w:rPr>
          <w:rFonts w:ascii="Times New Roman" w:hAnsi="Times New Roman" w:cs="Times New Roman"/>
          <w:b w:val="0"/>
          <w:spacing w:val="-2"/>
          <w:sz w:val="22"/>
          <w:szCs w:val="22"/>
        </w:rPr>
        <w:tab/>
        <w:t>Arrêté n° 1545 CM du 18/08/2025 portant création de la partie réglementaire du livre V du code des assurances applicable en Polynésie française (JOPF 20/08/2025) ;</w:t>
      </w:r>
    </w:p>
    <w:p w14:paraId="1BE8E732" w14:textId="77777777" w:rsidR="000819C7" w:rsidRPr="00F23462" w:rsidRDefault="000819C7" w:rsidP="00F23462">
      <w:pPr>
        <w:pStyle w:val="Titre"/>
        <w:ind w:left="142" w:hanging="142"/>
        <w:jc w:val="both"/>
        <w:rPr>
          <w:rFonts w:ascii="Times New Roman" w:hAnsi="Times New Roman" w:cs="Times New Roman"/>
          <w:b w:val="0"/>
          <w:spacing w:val="-2"/>
          <w:sz w:val="22"/>
          <w:szCs w:val="22"/>
        </w:rPr>
      </w:pPr>
      <w:r w:rsidRPr="00F23462">
        <w:rPr>
          <w:rFonts w:ascii="Times New Roman" w:hAnsi="Times New Roman" w:cs="Times New Roman"/>
          <w:b w:val="0"/>
          <w:spacing w:val="-2"/>
          <w:sz w:val="22"/>
          <w:szCs w:val="22"/>
        </w:rPr>
        <w:t>-</w:t>
      </w:r>
      <w:r w:rsidRPr="00F23462">
        <w:rPr>
          <w:rFonts w:ascii="Times New Roman" w:hAnsi="Times New Roman" w:cs="Times New Roman"/>
          <w:b w:val="0"/>
          <w:spacing w:val="-2"/>
          <w:sz w:val="22"/>
          <w:szCs w:val="22"/>
        </w:rPr>
        <w:tab/>
        <w:t xml:space="preserve"> Délibération n° 2025-94 APF du 27/08/2025 portant modification de la partie réglementaire du code des assurances applicable en Polynésie française (JOPF 04/09/2025) ;</w:t>
      </w:r>
    </w:p>
    <w:p w14:paraId="50FA3238" w14:textId="07456092" w:rsidR="000819C7" w:rsidRPr="00F23462" w:rsidRDefault="000819C7" w:rsidP="00F23462">
      <w:pPr>
        <w:pStyle w:val="Titre"/>
        <w:ind w:left="142" w:hanging="142"/>
        <w:jc w:val="both"/>
        <w:rPr>
          <w:rFonts w:ascii="Times New Roman" w:hAnsi="Times New Roman" w:cs="Times New Roman"/>
          <w:b w:val="0"/>
          <w:spacing w:val="-2"/>
          <w:sz w:val="22"/>
          <w:szCs w:val="22"/>
        </w:rPr>
      </w:pPr>
      <w:r w:rsidRPr="00F23462">
        <w:rPr>
          <w:rFonts w:ascii="Times New Roman" w:hAnsi="Times New Roman" w:cs="Times New Roman"/>
          <w:b w:val="0"/>
          <w:spacing w:val="-2"/>
          <w:sz w:val="22"/>
          <w:szCs w:val="22"/>
        </w:rPr>
        <w:t>-</w:t>
      </w:r>
      <w:r w:rsidRPr="00F23462">
        <w:rPr>
          <w:rFonts w:ascii="Times New Roman" w:hAnsi="Times New Roman" w:cs="Times New Roman"/>
          <w:b w:val="0"/>
          <w:spacing w:val="-2"/>
          <w:sz w:val="22"/>
          <w:szCs w:val="22"/>
        </w:rPr>
        <w:tab/>
        <w:t>Arrêté n° 1905 CM du 06/10/2025 portant modification de la partie réglementaire du code des assurances applicable en Polynésie française (JOPF 09/10/2025).</w:t>
      </w:r>
    </w:p>
    <w:p w14:paraId="29656C01" w14:textId="77777777" w:rsidR="000819C7" w:rsidRPr="000819C7" w:rsidRDefault="000819C7" w:rsidP="003F6A0B">
      <w:pPr>
        <w:pStyle w:val="TableParagraph"/>
        <w:kinsoku w:val="0"/>
        <w:overflowPunct w:val="0"/>
        <w:spacing w:line="229" w:lineRule="exact"/>
        <w:ind w:left="142" w:hanging="142"/>
        <w:jc w:val="center"/>
        <w:rPr>
          <w:sz w:val="22"/>
          <w:szCs w:val="22"/>
        </w:rPr>
      </w:pPr>
    </w:p>
    <w:p w14:paraId="7A0B31F5" w14:textId="77777777" w:rsidR="000819C7" w:rsidRPr="00C03AB3" w:rsidRDefault="000819C7" w:rsidP="003F6A0B">
      <w:pPr>
        <w:pStyle w:val="TableParagraph"/>
        <w:kinsoku w:val="0"/>
        <w:overflowPunct w:val="0"/>
        <w:spacing w:line="229" w:lineRule="exact"/>
        <w:ind w:left="142" w:hanging="142"/>
        <w:jc w:val="center"/>
        <w:rPr>
          <w:sz w:val="22"/>
          <w:szCs w:val="22"/>
        </w:rPr>
      </w:pPr>
    </w:p>
    <w:p w14:paraId="672EBE3F" w14:textId="3361B16D" w:rsidR="000819C7" w:rsidRDefault="000819C7" w:rsidP="000819C7">
      <w:pPr>
        <w:jc w:val="center"/>
        <w:rPr>
          <w:rFonts w:ascii="Times New Roman" w:hAnsi="Times New Roman" w:cs="Times New Roman"/>
          <w:color w:val="000000"/>
        </w:rPr>
      </w:pPr>
      <w:r w:rsidRPr="00C03AB3">
        <w:rPr>
          <w:rFonts w:ascii="Times New Roman" w:hAnsi="Times New Roman" w:cs="Times New Roman"/>
          <w:color w:val="000000"/>
        </w:rPr>
        <w:t xml:space="preserve">(Mis à jour au </w:t>
      </w:r>
      <w:r w:rsidR="00C03AB3" w:rsidRPr="00C03AB3">
        <w:rPr>
          <w:rFonts w:ascii="Times New Roman" w:hAnsi="Times New Roman" w:cs="Times New Roman"/>
          <w:color w:val="000000"/>
        </w:rPr>
        <w:t>31</w:t>
      </w:r>
      <w:r w:rsidRPr="00C03AB3">
        <w:rPr>
          <w:rFonts w:ascii="Times New Roman" w:hAnsi="Times New Roman" w:cs="Times New Roman"/>
          <w:color w:val="000000"/>
        </w:rPr>
        <w:t xml:space="preserve"> </w:t>
      </w:r>
      <w:r w:rsidR="00C03AB3" w:rsidRPr="00C03AB3">
        <w:rPr>
          <w:rFonts w:ascii="Times New Roman" w:hAnsi="Times New Roman" w:cs="Times New Roman"/>
          <w:color w:val="000000"/>
        </w:rPr>
        <w:t>décembre</w:t>
      </w:r>
      <w:r w:rsidRPr="00C03AB3">
        <w:rPr>
          <w:rFonts w:ascii="Times New Roman" w:hAnsi="Times New Roman" w:cs="Times New Roman"/>
          <w:color w:val="000000"/>
        </w:rPr>
        <w:t xml:space="preserve"> 2025)</w:t>
      </w:r>
    </w:p>
    <w:p w14:paraId="58ED8D77" w14:textId="77777777" w:rsidR="00641A34" w:rsidRDefault="00641A34" w:rsidP="000819C7">
      <w:pPr>
        <w:jc w:val="center"/>
        <w:rPr>
          <w:rFonts w:ascii="Times New Roman" w:hAnsi="Times New Roman" w:cs="Times New Roman"/>
          <w:color w:val="000000"/>
        </w:rPr>
      </w:pPr>
    </w:p>
    <w:p w14:paraId="6D46F281" w14:textId="77777777" w:rsidR="00641A34" w:rsidRDefault="00641A34" w:rsidP="000819C7">
      <w:pPr>
        <w:jc w:val="center"/>
        <w:rPr>
          <w:rFonts w:ascii="Times New Roman" w:hAnsi="Times New Roman" w:cs="Times New Roman"/>
          <w:color w:val="000000"/>
        </w:rPr>
      </w:pPr>
    </w:p>
    <w:p w14:paraId="018F3FDF" w14:textId="77777777" w:rsidR="00641A34" w:rsidRDefault="00641A34" w:rsidP="00641A34">
      <w:pPr>
        <w:shd w:val="clear" w:color="auto" w:fill="BFBFBF"/>
        <w:jc w:val="center"/>
        <w:rPr>
          <w:rFonts w:ascii="Times New Roman" w:eastAsia="Calibri" w:hAnsi="Times New Roman" w:cs="Times New Roman"/>
        </w:rPr>
      </w:pPr>
      <w:r w:rsidRPr="00641A34">
        <w:rPr>
          <w:rFonts w:ascii="Times New Roman" w:eastAsia="Calibri" w:hAnsi="Times New Roman" w:cs="Times New Roman"/>
        </w:rPr>
        <w:t xml:space="preserve">AVERTISSEMENT : </w:t>
      </w:r>
    </w:p>
    <w:p w14:paraId="6D7C1E91" w14:textId="77777777" w:rsidR="00641A34" w:rsidRPr="00641A34" w:rsidRDefault="00641A34" w:rsidP="00641A34">
      <w:pPr>
        <w:shd w:val="clear" w:color="auto" w:fill="BFBFBF"/>
        <w:jc w:val="center"/>
        <w:rPr>
          <w:rFonts w:ascii="Times New Roman" w:eastAsia="Calibri" w:hAnsi="Times New Roman" w:cs="Times New Roman"/>
        </w:rPr>
      </w:pPr>
    </w:p>
    <w:p w14:paraId="4D44C19F" w14:textId="44ADC987" w:rsidR="00641A34" w:rsidRDefault="00641A34" w:rsidP="00E430C0">
      <w:pPr>
        <w:shd w:val="clear" w:color="auto" w:fill="BFBFBF"/>
        <w:jc w:val="center"/>
        <w:rPr>
          <w:rFonts w:ascii="Times New Roman" w:eastAsia="Calibri" w:hAnsi="Times New Roman" w:cs="Times New Roman"/>
        </w:rPr>
      </w:pPr>
      <w:r>
        <w:rPr>
          <w:rFonts w:ascii="Times New Roman" w:eastAsia="Calibri" w:hAnsi="Times New Roman" w:cs="Times New Roman"/>
        </w:rPr>
        <w:t xml:space="preserve">La présente version consolidée </w:t>
      </w:r>
      <w:r w:rsidR="00991433" w:rsidRPr="00991433">
        <w:rPr>
          <w:rFonts w:ascii="Times New Roman" w:eastAsia="Calibri" w:hAnsi="Times New Roman" w:cs="Times New Roman"/>
        </w:rPr>
        <w:t xml:space="preserve">intègre les modifications </w:t>
      </w:r>
      <w:r w:rsidR="00991433">
        <w:rPr>
          <w:rFonts w:ascii="Times New Roman" w:eastAsia="Calibri" w:hAnsi="Times New Roman" w:cs="Times New Roman"/>
        </w:rPr>
        <w:t xml:space="preserve">apportées par </w:t>
      </w:r>
      <w:r w:rsidR="00991433" w:rsidRPr="00991433">
        <w:rPr>
          <w:rFonts w:ascii="Times New Roman" w:eastAsia="Calibri" w:hAnsi="Times New Roman" w:cs="Times New Roman"/>
        </w:rPr>
        <w:t xml:space="preserve">l’arrêté n° 1545 CM du 18/08/2025, </w:t>
      </w:r>
      <w:r w:rsidR="00991433">
        <w:rPr>
          <w:rFonts w:ascii="Times New Roman" w:eastAsia="Calibri" w:hAnsi="Times New Roman" w:cs="Times New Roman"/>
        </w:rPr>
        <w:t xml:space="preserve">la </w:t>
      </w:r>
      <w:r w:rsidR="00991433" w:rsidRPr="00991433">
        <w:rPr>
          <w:rFonts w:ascii="Times New Roman" w:eastAsia="Calibri" w:hAnsi="Times New Roman" w:cs="Times New Roman"/>
        </w:rPr>
        <w:t xml:space="preserve">délibération n° 2025-94 du 27/08/2025 et </w:t>
      </w:r>
      <w:r w:rsidR="00991433">
        <w:rPr>
          <w:rFonts w:ascii="Times New Roman" w:eastAsia="Calibri" w:hAnsi="Times New Roman" w:cs="Times New Roman"/>
        </w:rPr>
        <w:t>l’</w:t>
      </w:r>
      <w:r w:rsidR="00991433" w:rsidRPr="00991433">
        <w:rPr>
          <w:rFonts w:ascii="Times New Roman" w:eastAsia="Calibri" w:hAnsi="Times New Roman" w:cs="Times New Roman"/>
        </w:rPr>
        <w:t>arrêté n° 1905 CM du 06/10/2025</w:t>
      </w:r>
      <w:r w:rsidR="00991433">
        <w:rPr>
          <w:rFonts w:ascii="Times New Roman" w:eastAsia="Calibri" w:hAnsi="Times New Roman" w:cs="Times New Roman"/>
        </w:rPr>
        <w:t xml:space="preserve">, qui prévoient une entrée en vigueur au </w:t>
      </w:r>
      <w:r>
        <w:rPr>
          <w:rFonts w:ascii="Times New Roman" w:eastAsia="Calibri" w:hAnsi="Times New Roman" w:cs="Times New Roman"/>
        </w:rPr>
        <w:t>31 décembre 2025</w:t>
      </w:r>
      <w:r w:rsidR="00991433">
        <w:rPr>
          <w:rFonts w:ascii="Times New Roman" w:eastAsia="Calibri" w:hAnsi="Times New Roman" w:cs="Times New Roman"/>
        </w:rPr>
        <w:t>.</w:t>
      </w:r>
    </w:p>
    <w:p w14:paraId="61C4C474" w14:textId="29FC6BB8" w:rsidR="00641A34" w:rsidRDefault="00641A34" w:rsidP="00641A34">
      <w:pPr>
        <w:shd w:val="clear" w:color="auto" w:fill="BFBFBF"/>
        <w:jc w:val="center"/>
        <w:rPr>
          <w:rFonts w:ascii="Times New Roman" w:eastAsia="Calibri" w:hAnsi="Times New Roman" w:cs="Times New Roman"/>
        </w:rPr>
      </w:pPr>
      <w:r w:rsidRPr="00641A34">
        <w:rPr>
          <w:rFonts w:ascii="Times New Roman" w:eastAsia="Calibri" w:hAnsi="Times New Roman" w:cs="Times New Roman"/>
        </w:rPr>
        <w:t>Ce document est mis à disposition à titre informatif uniquement, afin de permettre aux usagers d’anticiper les évolutions du droit.</w:t>
      </w:r>
    </w:p>
    <w:p w14:paraId="1D6CA883" w14:textId="77777777" w:rsidR="00641A34" w:rsidRPr="00641A34" w:rsidRDefault="00641A34" w:rsidP="00641A34">
      <w:pPr>
        <w:shd w:val="clear" w:color="auto" w:fill="BFBFBF"/>
        <w:jc w:val="center"/>
        <w:rPr>
          <w:rFonts w:ascii="Times New Roman" w:eastAsia="Calibri" w:hAnsi="Times New Roman" w:cs="Times New Roman"/>
        </w:rPr>
      </w:pPr>
    </w:p>
    <w:p w14:paraId="644B9267" w14:textId="77777777" w:rsidR="003F6A0B" w:rsidRDefault="003F6A0B" w:rsidP="003F6A0B">
      <w:pPr>
        <w:jc w:val="center"/>
        <w:rPr>
          <w:rFonts w:ascii="Book Antiqua" w:eastAsia="Book Antiqua" w:hAnsi="Book Antiqua" w:cs="Book Antiqua"/>
          <w:sz w:val="20"/>
          <w:szCs w:val="20"/>
          <w:lang w:eastAsia="fr-FR" w:bidi="fr-FR"/>
        </w:rPr>
      </w:pPr>
    </w:p>
    <w:p w14:paraId="6EB6F085" w14:textId="3AE0FCB5" w:rsidR="008525D6" w:rsidRDefault="008525D6">
      <w:pPr>
        <w:rPr>
          <w:rFonts w:ascii="Book Antiqua" w:eastAsia="Book Antiqua" w:hAnsi="Book Antiqua" w:cs="Book Antiqua"/>
          <w:sz w:val="20"/>
          <w:szCs w:val="20"/>
          <w:lang w:eastAsia="fr-FR" w:bidi="fr-FR"/>
        </w:rPr>
      </w:pPr>
      <w:r>
        <w:rPr>
          <w:rFonts w:ascii="Book Antiqua" w:eastAsia="Book Antiqua" w:hAnsi="Book Antiqua" w:cs="Book Antiqua"/>
          <w:sz w:val="20"/>
          <w:szCs w:val="20"/>
          <w:lang w:eastAsia="fr-FR" w:bidi="fr-FR"/>
        </w:rPr>
        <w:br w:type="page"/>
      </w:r>
    </w:p>
    <w:p w14:paraId="4053ED0F" w14:textId="77777777" w:rsidR="008525D6" w:rsidRDefault="008525D6" w:rsidP="000819C7">
      <w:pPr>
        <w:widowControl w:val="0"/>
        <w:tabs>
          <w:tab w:val="right" w:leader="dot" w:pos="9615"/>
        </w:tabs>
        <w:spacing w:after="0" w:line="306" w:lineRule="exact"/>
        <w:ind w:left="600"/>
        <w:jc w:val="both"/>
        <w:rPr>
          <w:rFonts w:ascii="Book Antiqua" w:eastAsia="Book Antiqua" w:hAnsi="Book Antiqua" w:cs="Book Antiqua"/>
          <w:sz w:val="20"/>
          <w:szCs w:val="20"/>
          <w:lang w:eastAsia="fr-FR" w:bidi="fr-FR"/>
        </w:rPr>
      </w:pPr>
    </w:p>
    <w:p w14:paraId="64F03510" w14:textId="77777777" w:rsidR="008525D6" w:rsidRDefault="008525D6" w:rsidP="00467CCF">
      <w:pPr>
        <w:spacing w:after="0" w:line="240" w:lineRule="auto"/>
        <w:jc w:val="center"/>
        <w:rPr>
          <w:rFonts w:ascii="Times New Roman" w:eastAsia="Times New Roman" w:hAnsi="Times New Roman" w:cs="Times New Roman"/>
          <w:b/>
          <w:bCs/>
          <w:caps/>
          <w:sz w:val="21"/>
          <w:szCs w:val="21"/>
          <w:lang w:eastAsia="fr-FR"/>
        </w:rPr>
      </w:pPr>
    </w:p>
    <w:p w14:paraId="5A78CA07" w14:textId="7B3615D3" w:rsid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Deuxième partie règlementaire</w:t>
      </w:r>
    </w:p>
    <w:p w14:paraId="39A5C60C"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p>
    <w:p w14:paraId="66EB5B43" w14:textId="27AB9D31" w:rsid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Livre Ier - Le contrat</w:t>
      </w:r>
    </w:p>
    <w:p w14:paraId="7DBA2AAD"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p>
    <w:p w14:paraId="6E1908AE" w14:textId="6A0432CB" w:rsidR="00467CCF" w:rsidRDefault="00467CCF" w:rsidP="00467CCF">
      <w:pPr>
        <w:spacing w:after="0" w:line="240" w:lineRule="auto"/>
        <w:jc w:val="center"/>
        <w:rPr>
          <w:rFonts w:ascii="Times New Roman" w:eastAsia="Times New Roman" w:hAnsi="Times New Roman" w:cs="Times New Roman"/>
          <w:i/>
          <w:iCs/>
          <w:sz w:val="15"/>
          <w:szCs w:val="15"/>
          <w:lang w:eastAsia="fr-FR"/>
        </w:rPr>
      </w:pPr>
      <w:r w:rsidRPr="00467CCF">
        <w:rPr>
          <w:rFonts w:ascii="Times New Roman" w:eastAsia="Times New Roman" w:hAnsi="Times New Roman" w:cs="Times New Roman"/>
          <w:b/>
          <w:bCs/>
          <w:caps/>
          <w:sz w:val="21"/>
          <w:szCs w:val="21"/>
          <w:lang w:eastAsia="fr-FR"/>
        </w:rPr>
        <w:t>Titre Ier - Règles communes aux assurances de dommages maritimes et aux assurances aux personnes</w:t>
      </w:r>
      <w:r w:rsidRPr="00467CCF">
        <w:rPr>
          <w:rFonts w:ascii="Times New Roman" w:eastAsia="Times New Roman" w:hAnsi="Times New Roman" w:cs="Times New Roman"/>
          <w:b/>
          <w:bCs/>
          <w:caps/>
          <w:sz w:val="21"/>
          <w:szCs w:val="21"/>
          <w:lang w:eastAsia="fr-FR"/>
        </w:rPr>
        <w:br/>
      </w:r>
      <w:r w:rsidRPr="00467CCF">
        <w:rPr>
          <w:rFonts w:ascii="Times New Roman" w:eastAsia="Times New Roman" w:hAnsi="Times New Roman" w:cs="Times New Roman"/>
          <w:i/>
          <w:iCs/>
          <w:sz w:val="15"/>
          <w:szCs w:val="15"/>
          <w:lang w:eastAsia="fr-FR"/>
        </w:rPr>
        <w:t>Rédaction issue de Arrêté n° 2314 CM du 1er décembre 2017 (</w:t>
      </w:r>
      <w:hyperlink r:id="rId8"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3E1D9101"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p>
    <w:p w14:paraId="516EF844" w14:textId="4B8353F7" w:rsidR="00467CCF" w:rsidRDefault="00467CCF" w:rsidP="00467CCF">
      <w:pPr>
        <w:spacing w:after="0" w:line="240" w:lineRule="auto"/>
        <w:jc w:val="center"/>
        <w:rPr>
          <w:rFonts w:ascii="Times New Roman" w:eastAsia="Times New Roman" w:hAnsi="Times New Roman" w:cs="Times New Roman"/>
          <w:i/>
          <w:iCs/>
          <w:sz w:val="15"/>
          <w:szCs w:val="15"/>
          <w:lang w:eastAsia="fr-FR"/>
        </w:rPr>
      </w:pPr>
      <w:r w:rsidRPr="00467CCF">
        <w:rPr>
          <w:rFonts w:ascii="Times New Roman" w:eastAsia="Times New Roman" w:hAnsi="Times New Roman" w:cs="Times New Roman"/>
          <w:b/>
          <w:bCs/>
          <w:caps/>
          <w:sz w:val="21"/>
          <w:szCs w:val="21"/>
          <w:lang w:eastAsia="fr-FR"/>
        </w:rPr>
        <w:t>Chapitre II - Conclusion et preuve du contrat d'assurance - Forme et transmission des polices</w:t>
      </w:r>
      <w:r w:rsidRPr="00467CCF">
        <w:rPr>
          <w:rFonts w:ascii="Times New Roman" w:eastAsia="Times New Roman" w:hAnsi="Times New Roman" w:cs="Times New Roman"/>
          <w:b/>
          <w:bCs/>
          <w:caps/>
          <w:sz w:val="21"/>
          <w:szCs w:val="21"/>
          <w:lang w:eastAsia="fr-FR"/>
        </w:rPr>
        <w:br/>
      </w:r>
      <w:r w:rsidRPr="00467CCF">
        <w:rPr>
          <w:rFonts w:ascii="Times New Roman" w:eastAsia="Times New Roman" w:hAnsi="Times New Roman" w:cs="Times New Roman"/>
          <w:i/>
          <w:iCs/>
          <w:sz w:val="15"/>
          <w:szCs w:val="15"/>
          <w:lang w:eastAsia="fr-FR"/>
        </w:rPr>
        <w:t>Rédaction issue de Arrêté n° 2314 CM du 1er décembre 2017 (</w:t>
      </w:r>
      <w:hyperlink r:id="rId9"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0838F8BC"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p>
    <w:p w14:paraId="293728B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A. 112-1</w:t>
      </w:r>
      <w:r w:rsidRPr="00467CCF">
        <w:rPr>
          <w:rFonts w:ascii="Times New Roman" w:eastAsia="Times New Roman" w:hAnsi="Times New Roman" w:cs="Times New Roman"/>
          <w:i/>
          <w:iCs/>
          <w:sz w:val="16"/>
          <w:szCs w:val="16"/>
          <w:lang w:eastAsia="fr-FR"/>
        </w:rPr>
        <w:t>Rédaction issue de Arrêté n° 2314 CM du 1er décembre 2017 (</w:t>
      </w:r>
      <w:hyperlink r:id="rId10"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4420B590" w14:textId="23E962E3"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document d'information prévu à l'article LP. 112-10 du code des assurances tel qu'applicable en Polynésie française, invitant l'assuré à vérifier s'il n'est pas déjà bénéficiaire d'une garantie couvrant l'un des risques couverts par le nouveau contrat et l'informant de la faculté de renonciation, est établi comme suit :</w:t>
      </w:r>
      <w:r w:rsidRPr="00467CCF">
        <w:rPr>
          <w:rFonts w:ascii="Times New Roman" w:eastAsia="Times New Roman" w:hAnsi="Times New Roman" w:cs="Times New Roman"/>
          <w:sz w:val="18"/>
          <w:szCs w:val="18"/>
          <w:lang w:eastAsia="fr-FR"/>
        </w:rPr>
        <w:br/>
        <w:t>"Vous êtes invité à vérifier que vous n'êtes pas déjà bénéficiaire d'une garantie couvrant l'un des risques garantis par le nouveau contrat. Si tel est le cas, vous bénéficiez d'un droit de renonciation à ce contrat pendant un délai de quatorze jours (calendaires) à compter de sa conclusion, sans frais ni pénalités, si toutes les conditions suivantes sont remplies :</w:t>
      </w:r>
      <w:r w:rsidRPr="00467CCF">
        <w:rPr>
          <w:rFonts w:ascii="Times New Roman" w:eastAsia="Times New Roman" w:hAnsi="Times New Roman" w:cs="Times New Roman"/>
          <w:sz w:val="18"/>
          <w:szCs w:val="18"/>
          <w:lang w:eastAsia="fr-FR"/>
        </w:rPr>
        <w:br/>
        <w:t>- vous avez souscrit ce contrat à des fins non professionnelles ;</w:t>
      </w:r>
      <w:r w:rsidRPr="00467CCF">
        <w:rPr>
          <w:rFonts w:ascii="Times New Roman" w:eastAsia="Times New Roman" w:hAnsi="Times New Roman" w:cs="Times New Roman"/>
          <w:sz w:val="18"/>
          <w:szCs w:val="18"/>
          <w:lang w:eastAsia="fr-FR"/>
        </w:rPr>
        <w:br/>
        <w:t>- ce contrat vient en complément de l'achat d'un bien ou d'un service vendu par un fournisseur ;</w:t>
      </w:r>
      <w:r w:rsidRPr="00467CCF">
        <w:rPr>
          <w:rFonts w:ascii="Times New Roman" w:eastAsia="Times New Roman" w:hAnsi="Times New Roman" w:cs="Times New Roman"/>
          <w:sz w:val="18"/>
          <w:szCs w:val="18"/>
          <w:lang w:eastAsia="fr-FR"/>
        </w:rPr>
        <w:br/>
        <w:t>- vous justifiez que vous êtes déjà couvert pour l'un des risques garantis par ce nouveau contrat ;</w:t>
      </w:r>
      <w:r w:rsidRPr="00467CCF">
        <w:rPr>
          <w:rFonts w:ascii="Times New Roman" w:eastAsia="Times New Roman" w:hAnsi="Times New Roman" w:cs="Times New Roman"/>
          <w:sz w:val="18"/>
          <w:szCs w:val="18"/>
          <w:lang w:eastAsia="fr-FR"/>
        </w:rPr>
        <w:br/>
        <w:t>- le contrat auquel vous souhaitez renoncer n'est pas intégralement exécuté ;</w:t>
      </w:r>
      <w:r w:rsidRPr="00467CCF">
        <w:rPr>
          <w:rFonts w:ascii="Times New Roman" w:eastAsia="Times New Roman" w:hAnsi="Times New Roman" w:cs="Times New Roman"/>
          <w:sz w:val="18"/>
          <w:szCs w:val="18"/>
          <w:lang w:eastAsia="fr-FR"/>
        </w:rPr>
        <w:br/>
        <w:t>- vous n'avez déclaré aucun sinistre garanti par ce contrat.</w:t>
      </w:r>
      <w:r w:rsidRPr="00467CCF">
        <w:rPr>
          <w:rFonts w:ascii="Times New Roman" w:eastAsia="Times New Roman" w:hAnsi="Times New Roman" w:cs="Times New Roman"/>
          <w:sz w:val="18"/>
          <w:szCs w:val="18"/>
          <w:lang w:eastAsia="fr-FR"/>
        </w:rPr>
        <w:br/>
        <w:t>Dans cette situation, vous pouvez exercer votre droit à renoncer à ce contrat par lettre ou, tout autre support durable adressé à l'assureur du nouveau contrat, accompagné d'un document justifiant que vous bénéficiez déjà d'une garantie pour l'un des risques garantis par le nouveau contrat. L'assureur est tenu de vous rembourser la prime payée, dans un délai de trente jours à compter de votre renonciation. Si vous souhaitez renoncer à votre contrat mais que vous ne remplissez pas l'ensemble des conditions ci-dessus, vérifiez les</w:t>
      </w:r>
      <w:r>
        <w:rPr>
          <w:rFonts w:ascii="Times New Roman" w:eastAsia="Times New Roman" w:hAnsi="Times New Roman" w:cs="Times New Roman"/>
          <w:sz w:val="18"/>
          <w:szCs w:val="18"/>
          <w:lang w:eastAsia="fr-FR"/>
        </w:rPr>
        <w:t xml:space="preserve"> </w:t>
      </w:r>
      <w:r w:rsidRPr="00467CCF">
        <w:rPr>
          <w:rFonts w:ascii="Times New Roman" w:eastAsia="Times New Roman" w:hAnsi="Times New Roman" w:cs="Times New Roman"/>
          <w:sz w:val="18"/>
          <w:szCs w:val="18"/>
          <w:lang w:eastAsia="fr-FR"/>
        </w:rPr>
        <w:t>modalités de renonciation prévues dans votre contrat."</w:t>
      </w:r>
      <w:r w:rsidRPr="00467CCF">
        <w:rPr>
          <w:rFonts w:ascii="Times New Roman" w:eastAsia="Times New Roman" w:hAnsi="Times New Roman" w:cs="Times New Roman"/>
          <w:sz w:val="18"/>
          <w:szCs w:val="18"/>
          <w:lang w:eastAsia="fr-FR"/>
        </w:rPr>
        <w:br/>
        <w:t>Le document d'information figure de façon très apparente dans un encadré repris dans la fiche d'information mentionnée à l'article LP. 112-2 du code des assurances tel qu'applicable en Polynésie française.</w:t>
      </w:r>
    </w:p>
    <w:p w14:paraId="35E2360C"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III - Obligations de l'assureur et de l'assuré</w:t>
      </w:r>
      <w:r w:rsidRPr="00467CCF">
        <w:rPr>
          <w:rFonts w:ascii="Times New Roman" w:eastAsia="Times New Roman" w:hAnsi="Times New Roman" w:cs="Times New Roman"/>
          <w:b/>
          <w:bCs/>
          <w:caps/>
          <w:sz w:val="21"/>
          <w:szCs w:val="21"/>
          <w:lang w:eastAsia="fr-FR"/>
        </w:rPr>
        <w:br/>
      </w:r>
      <w:r w:rsidRPr="00467CCF">
        <w:rPr>
          <w:rFonts w:ascii="Times New Roman" w:eastAsia="Times New Roman" w:hAnsi="Times New Roman" w:cs="Times New Roman"/>
          <w:i/>
          <w:iCs/>
          <w:sz w:val="15"/>
          <w:szCs w:val="15"/>
          <w:lang w:eastAsia="fr-FR"/>
        </w:rPr>
        <w:t>Rédaction issue de Arrêté n° 2314 CM du 1er décembre 2017 (</w:t>
      </w:r>
      <w:hyperlink r:id="rId11"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424030F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113-1</w:t>
      </w:r>
      <w:r w:rsidRPr="00467CCF">
        <w:rPr>
          <w:rFonts w:ascii="Times New Roman" w:eastAsia="Times New Roman" w:hAnsi="Times New Roman" w:cs="Times New Roman"/>
          <w:i/>
          <w:iCs/>
          <w:sz w:val="16"/>
          <w:szCs w:val="16"/>
          <w:lang w:eastAsia="fr-FR"/>
        </w:rPr>
        <w:t>Rédaction issue de Arrêté n° 2314 CM du 1er décembre 2017 (</w:t>
      </w:r>
      <w:hyperlink r:id="rId12"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33A26B70"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mise en demeure prévue au deuxième alinéa de l'article L. 113-3 résulte de l'envoi d'une lettre recommandée, adressée à l'assuré, ou à la personne chargée du paiement des primes, à leur dernier domicile connu de l'assureur.</w:t>
      </w:r>
    </w:p>
    <w:p w14:paraId="7900720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113-4</w:t>
      </w:r>
      <w:r w:rsidRPr="00467CCF">
        <w:rPr>
          <w:rFonts w:ascii="Times New Roman" w:eastAsia="Times New Roman" w:hAnsi="Times New Roman" w:cs="Times New Roman"/>
          <w:i/>
          <w:iCs/>
          <w:sz w:val="16"/>
          <w:szCs w:val="16"/>
          <w:lang w:eastAsia="fr-FR"/>
        </w:rPr>
        <w:t>Rédaction issue de Arrêté n° 2314 CM du 1er décembre 2017 (</w:t>
      </w:r>
      <w:hyperlink r:id="rId13"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2122E47D"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A chaque échéance de prime, l'assureur est tenu d'aviser l'assuré, ou la personne chargée du paiement des primes, de la date de l'échéance et du montant de la somme dont il est redevable.</w:t>
      </w:r>
    </w:p>
    <w:p w14:paraId="52A44B9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113-6</w:t>
      </w:r>
      <w:r w:rsidRPr="00467CCF">
        <w:rPr>
          <w:rFonts w:ascii="Times New Roman" w:eastAsia="Times New Roman" w:hAnsi="Times New Roman" w:cs="Times New Roman"/>
          <w:i/>
          <w:iCs/>
          <w:sz w:val="16"/>
          <w:szCs w:val="16"/>
          <w:lang w:eastAsia="fr-FR"/>
        </w:rPr>
        <w:t>Rédaction issue de Arrêté n° 2314 CM du 1er décembre 2017 (</w:t>
      </w:r>
      <w:hyperlink r:id="rId14"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03F44124"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Lorsqu'une partie entend résilier un contrat d'assurance en vertu de l'article L. 113-16, elle doit adresser à l'autre partie une lettre recommandée avec demande d'avis de réception ou par une remise en mains propres contre reçu, indiquant la nature et la date de l'événement qu'elle invoque et donnant toutes précisions de nature à établir que la résiliation est en relation directe avec ledit événement.</w:t>
      </w:r>
      <w:r w:rsidRPr="00467CCF">
        <w:rPr>
          <w:rFonts w:ascii="Times New Roman" w:eastAsia="Times New Roman" w:hAnsi="Times New Roman" w:cs="Times New Roman"/>
          <w:sz w:val="18"/>
          <w:szCs w:val="18"/>
          <w:lang w:eastAsia="fr-FR"/>
        </w:rPr>
        <w:br/>
        <w:t>Lorsque cet événement est constitué ou constaté par une décision juridictionnelle ou lorsqu'il ne peut en être déduit d'effets juridiques qu'après une homologation ou un exequatur, la date retenue est celle à laquelle cet acte juridictionnel est passé en force de chose jugée.</w:t>
      </w:r>
    </w:p>
    <w:p w14:paraId="4C73A36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113-10</w:t>
      </w:r>
      <w:r w:rsidRPr="00467CCF">
        <w:rPr>
          <w:rFonts w:ascii="Times New Roman" w:eastAsia="Times New Roman" w:hAnsi="Times New Roman" w:cs="Times New Roman"/>
          <w:i/>
          <w:iCs/>
          <w:sz w:val="16"/>
          <w:szCs w:val="16"/>
          <w:lang w:eastAsia="fr-FR"/>
        </w:rPr>
        <w:t>Rédaction issue de Arrêté n° 2314 CM du 1er décembre 2017 (</w:t>
      </w:r>
      <w:hyperlink r:id="rId15"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0B51398F" w14:textId="77777777" w:rsidR="00467CCF" w:rsidRPr="00467CCF" w:rsidRDefault="00467CCF" w:rsidP="008525D6">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lastRenderedPageBreak/>
        <w:t>Dans le cas où une police prévoit pour l'assureur la faculté de résilier le contrat après sinistre, la résiliation ne peut prendre effet qu'à l'expiration d'un délai d'un mois à dater de la notification à l'assuré. L'assureur qui, passé le délai d'un mois après qu'il a eu connaissance du sinistre, a accepté le paiement d'une prime ou cotisation ou d'une fraction de prime ou cotisation correspondant à une période d'assurance ayant débuté postérieurement au sinistre ne peut plus se prévaloir de ce sinistre pour résilier le contrat.</w:t>
      </w:r>
      <w:r w:rsidRPr="00467CCF">
        <w:rPr>
          <w:rFonts w:ascii="Times New Roman" w:eastAsia="Times New Roman" w:hAnsi="Times New Roman" w:cs="Times New Roman"/>
          <w:sz w:val="18"/>
          <w:szCs w:val="18"/>
          <w:lang w:eastAsia="fr-FR"/>
        </w:rPr>
        <w:br/>
        <w:t>Dans le cas prévu au premier alinéa ci-dessus, les polices doivent reconnaître à l'assuré le droit, dans le délai d'un mois de la notification de la résiliation de la police sinistrée, de résilier les autres contrats d'assurance qu'il peut avoir souscrits à l'assureur, la résiliation prenant effet un mois à dater de la notification à l'assureur.</w:t>
      </w:r>
      <w:r w:rsidRPr="00467CCF">
        <w:rPr>
          <w:rFonts w:ascii="Times New Roman" w:eastAsia="Times New Roman" w:hAnsi="Times New Roman" w:cs="Times New Roman"/>
          <w:sz w:val="18"/>
          <w:szCs w:val="18"/>
          <w:lang w:eastAsia="fr-FR"/>
        </w:rPr>
        <w:br/>
        <w:t>La faculté de résiliation ouverte à l'assureur et à l'assuré, par application des deux précédents alinéas, comporte restitution par l'assureur des portions de primes ou cotisations afférentes à la période pour laquelle les risques ne sont plus garantis.</w:t>
      </w:r>
    </w:p>
    <w:p w14:paraId="4619D5D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113-13</w:t>
      </w:r>
      <w:r w:rsidRPr="00467CCF">
        <w:rPr>
          <w:rFonts w:ascii="Times New Roman" w:eastAsia="Times New Roman" w:hAnsi="Times New Roman" w:cs="Times New Roman"/>
          <w:i/>
          <w:iCs/>
          <w:sz w:val="16"/>
          <w:szCs w:val="16"/>
          <w:lang w:eastAsia="fr-FR"/>
        </w:rPr>
        <w:t>Rédaction issue de Arrêté n° 2314 CM du 1er décembre 2017 (</w:t>
      </w:r>
      <w:hyperlink r:id="rId16"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682CE64D"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En application du troisième alinéa de l'article L. 113-12-2, l'assureur ne peut résilier, pour cause d'aggravation du risque, le contrat d'assurance souscrit dans le cadre d'un contrat de crédit mentionné au 1° de l'article L. 313-1 du code de la consommation, que si les conditions suivantes sont réunies :</w:t>
      </w:r>
      <w:r w:rsidRPr="00467CCF">
        <w:rPr>
          <w:rFonts w:ascii="Times New Roman" w:eastAsia="Times New Roman" w:hAnsi="Times New Roman" w:cs="Times New Roman"/>
          <w:sz w:val="18"/>
          <w:szCs w:val="18"/>
          <w:lang w:eastAsia="fr-FR"/>
        </w:rPr>
        <w:br/>
        <w:t>1° L'assuré pratique régulièrement une nouvelle activité sportive présentant un risque particulier pour sa santé ou sa sécurité, et figurant sur une liste fixée par arrêté du ministre chargé de l'économie ;</w:t>
      </w:r>
      <w:r w:rsidRPr="00467CCF">
        <w:rPr>
          <w:rFonts w:ascii="Times New Roman" w:eastAsia="Times New Roman" w:hAnsi="Times New Roman" w:cs="Times New Roman"/>
          <w:sz w:val="18"/>
          <w:szCs w:val="18"/>
          <w:lang w:eastAsia="fr-FR"/>
        </w:rPr>
        <w:br/>
        <w:t>2° L'exercice de cette nouvelle activité conduit à rendre inexactes ou caduques les réponses faites par l'assuré en réponse aux questions relatives à sa pratique sportive posées par l'assureur lors de la conclusion du contrat, en application des dispositions du 2° de l'article L. 113-2 ;</w:t>
      </w:r>
      <w:r w:rsidRPr="00467CCF">
        <w:rPr>
          <w:rFonts w:ascii="Times New Roman" w:eastAsia="Times New Roman" w:hAnsi="Times New Roman" w:cs="Times New Roman"/>
          <w:sz w:val="18"/>
          <w:szCs w:val="18"/>
          <w:lang w:eastAsia="fr-FR"/>
        </w:rPr>
        <w:br/>
        <w:t>3° L'assuré n'a pas déclaré cette nouvelle activité dans les conditions et délais définis au 3° du même article L. 113-2.</w:t>
      </w:r>
    </w:p>
    <w:p w14:paraId="1D8C1255"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Titre II - Règles relatives aux assurances de dommages</w:t>
      </w:r>
      <w:r w:rsidRPr="00467CCF">
        <w:rPr>
          <w:rFonts w:ascii="Times New Roman" w:eastAsia="Times New Roman" w:hAnsi="Times New Roman" w:cs="Times New Roman"/>
          <w:b/>
          <w:bCs/>
          <w:caps/>
          <w:sz w:val="21"/>
          <w:szCs w:val="21"/>
          <w:lang w:eastAsia="fr-FR"/>
        </w:rPr>
        <w:br/>
      </w:r>
      <w:r w:rsidRPr="00467CCF">
        <w:rPr>
          <w:rFonts w:ascii="Times New Roman" w:eastAsia="Times New Roman" w:hAnsi="Times New Roman" w:cs="Times New Roman"/>
          <w:i/>
          <w:iCs/>
          <w:sz w:val="15"/>
          <w:szCs w:val="15"/>
          <w:lang w:eastAsia="fr-FR"/>
        </w:rPr>
        <w:t>Rédaction issue de Décret n° 90-697 du 1er août 1990 (</w:t>
      </w:r>
      <w:hyperlink r:id="rId17"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21A8121C" w14:textId="77777777" w:rsidR="00467CCF" w:rsidRPr="00467CCF" w:rsidRDefault="00467CCF" w:rsidP="00467CCF">
      <w:pPr>
        <w:spacing w:before="120"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VII - L'assurance de protection juridique</w:t>
      </w:r>
      <w:r w:rsidRPr="00467CCF">
        <w:rPr>
          <w:rFonts w:ascii="Times New Roman" w:eastAsia="Times New Roman" w:hAnsi="Times New Roman" w:cs="Times New Roman"/>
          <w:b/>
          <w:bCs/>
          <w:caps/>
          <w:sz w:val="21"/>
          <w:szCs w:val="21"/>
          <w:lang w:eastAsia="fr-FR"/>
        </w:rPr>
        <w:br/>
      </w:r>
      <w:r w:rsidRPr="00467CCF">
        <w:rPr>
          <w:rFonts w:ascii="Times New Roman" w:eastAsia="Times New Roman" w:hAnsi="Times New Roman" w:cs="Times New Roman"/>
          <w:i/>
          <w:iCs/>
          <w:sz w:val="15"/>
          <w:szCs w:val="15"/>
          <w:lang w:eastAsia="fr-FR"/>
        </w:rPr>
        <w:t>Rédaction issue de Décret n° 90-697 du 1er août 1990 (</w:t>
      </w:r>
      <w:hyperlink r:id="rId18"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47CB7DB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127-1</w:t>
      </w:r>
      <w:r w:rsidRPr="00467CCF">
        <w:rPr>
          <w:rFonts w:ascii="Times New Roman" w:eastAsia="Times New Roman" w:hAnsi="Times New Roman" w:cs="Times New Roman"/>
          <w:i/>
          <w:iCs/>
          <w:sz w:val="16"/>
          <w:szCs w:val="16"/>
          <w:lang w:eastAsia="fr-FR"/>
        </w:rPr>
        <w:t>Rédaction issue de Décret n° 90-697 du 1er août 1990 (</w:t>
      </w:r>
      <w:hyperlink r:id="rId19"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64A36CA9"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documents contractuels relatifs à l'assurance de protection juridique, mentionnés à L. 127-2 du présent code, doivent, lorsque l'entreprise d'assurance a opté pour la modalité de gestion prévue au premier tiret du premier alinéa de l'article L. 321-6, indiquer ce choix.</w:t>
      </w:r>
      <w:r w:rsidRPr="00467CCF">
        <w:rPr>
          <w:rFonts w:ascii="Times New Roman" w:eastAsia="Times New Roman" w:hAnsi="Times New Roman" w:cs="Times New Roman"/>
          <w:sz w:val="18"/>
          <w:szCs w:val="18"/>
          <w:lang w:eastAsia="fr-FR"/>
        </w:rPr>
        <w:br/>
        <w:t>L'assuré doit, dès la première demande de mise en jeu de la garantie de protection juridique, être informé sans délai, par l'entreprise d'assurance, de l'adresse du ou des services distincts assurant le traitement des sinistres de la branche de protection juridique.</w:t>
      </w:r>
    </w:p>
    <w:p w14:paraId="6C8C87A7"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127-2</w:t>
      </w:r>
      <w:r w:rsidRPr="00467CCF">
        <w:rPr>
          <w:rFonts w:ascii="Times New Roman" w:eastAsia="Times New Roman" w:hAnsi="Times New Roman" w:cs="Times New Roman"/>
          <w:i/>
          <w:iCs/>
          <w:sz w:val="16"/>
          <w:szCs w:val="16"/>
          <w:lang w:eastAsia="fr-FR"/>
        </w:rPr>
        <w:t>Rédaction issue de Décret n° 90-697 du 1er août 1990 (</w:t>
      </w:r>
      <w:hyperlink r:id="rId20"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663CFFF6"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documents contractuels relatifs à l'assurance de protection juridique, mentionnés à l'article L. 127-2, doivent, lorsque l'entreprise d'assurance a opté pour la modalité de gestion prévue au deuxième tiret du premier alinéa de l'article L. 321-6, indiquer la dénomination et le siège de l'entreprise juridiquement distincte à qui est confiée la gestion des sinistres de la branche de protection juridique.</w:t>
      </w:r>
    </w:p>
    <w:p w14:paraId="4D346898"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127-3</w:t>
      </w:r>
      <w:r w:rsidRPr="00467CCF">
        <w:rPr>
          <w:rFonts w:ascii="Times New Roman" w:eastAsia="Times New Roman" w:hAnsi="Times New Roman" w:cs="Times New Roman"/>
          <w:i/>
          <w:iCs/>
          <w:sz w:val="16"/>
          <w:szCs w:val="16"/>
          <w:lang w:eastAsia="fr-FR"/>
        </w:rPr>
        <w:t>Rédaction issue de Décret n° 90-697 du 1er août 1990 (</w:t>
      </w:r>
      <w:hyperlink r:id="rId21"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6E9D5C18"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documents contractuels relatifs à l'assurance de protection juridique mentionnés à l'article L. 127-2 doivent, lorsque l'entreprise d'assurance a opté pour la modalité de gestion prévue au troisième tiret du premier alinéa de l'article L. 321-6, comporter une mention indiquant, en caractères très apparents, que lorsque l'assuré est en droit de réclamer l'intervention de l'assurance de protection juridique au titre de la police, il a le droit de confier la défense de ses intérêts à un avocat ou à une personne qualifiée de son choix.</w:t>
      </w:r>
      <w:r w:rsidRPr="00467CCF">
        <w:rPr>
          <w:rFonts w:ascii="Times New Roman" w:eastAsia="Times New Roman" w:hAnsi="Times New Roman" w:cs="Times New Roman"/>
          <w:sz w:val="18"/>
          <w:szCs w:val="18"/>
          <w:lang w:eastAsia="fr-FR"/>
        </w:rPr>
        <w:br/>
        <w:t>En outre, dès la réception d'une déclaration de sinistre, l'assureur de protection juridique dont la garantie intervient informe l'assuré du droit mentionné à l'alinéa précédent.</w:t>
      </w:r>
    </w:p>
    <w:p w14:paraId="25E2EC7F"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Titre IV - Les assurances de groupe</w:t>
      </w:r>
    </w:p>
    <w:p w14:paraId="0D978DA5" w14:textId="77777777" w:rsidR="00467CCF" w:rsidRPr="00467CCF" w:rsidRDefault="00467CCF" w:rsidP="00467CCF">
      <w:pPr>
        <w:spacing w:before="120"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unique</w:t>
      </w:r>
    </w:p>
    <w:p w14:paraId="0A21ADB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140-1</w:t>
      </w:r>
    </w:p>
    <w:p w14:paraId="3E5EB1B2" w14:textId="77777777" w:rsid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lastRenderedPageBreak/>
        <w:t>L’assurance de groupe est l'assurance d'un ensemble de personnes présentant des caractères communs et relevant des mêmes conditions techniques pour la couverture d'un ou plusieurs des risques suivants :</w:t>
      </w:r>
    </w:p>
    <w:p w14:paraId="45493A57" w14:textId="77777777" w:rsidR="00467CCF" w:rsidRDefault="00467CCF" w:rsidP="00467CCF">
      <w:pPr>
        <w:spacing w:before="120" w:after="0"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 xml:space="preserve"> - risques qui dépendent de la durée de la vie humaine ;</w:t>
      </w:r>
    </w:p>
    <w:p w14:paraId="055D210D" w14:textId="77777777" w:rsidR="00467CCF" w:rsidRDefault="00467CCF" w:rsidP="00467CCF">
      <w:pPr>
        <w:spacing w:before="120" w:after="0"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 xml:space="preserve"> - incapacité de travail résultant de maladie ou d'accident ;</w:t>
      </w:r>
    </w:p>
    <w:p w14:paraId="30EB9FB2" w14:textId="77777777" w:rsidR="00467CCF" w:rsidRDefault="00467CCF" w:rsidP="00467CCF">
      <w:pPr>
        <w:spacing w:before="120" w:after="0"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 xml:space="preserve"> - remboursement des frais médicaux, pharmaceutiques ou chirurgicaux sans qu'il puisse en résulter un profit pour l'intéressé et, éventuellement, versement d'une indemnité en cas de maternité.</w:t>
      </w:r>
    </w:p>
    <w:p w14:paraId="4910FC00" w14:textId="5A5A308D"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L'assurance de groupe ne peut être souscrite que par un ou plusieurs chefs d'entreprise ou personnes morales publiques ou privées.</w:t>
      </w:r>
    </w:p>
    <w:p w14:paraId="2BA05548"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140-2</w:t>
      </w:r>
    </w:p>
    <w:p w14:paraId="40F4775C"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assurances de groupe en cas de décès sont régies par les dispositions du présent titre.</w:t>
      </w:r>
      <w:r w:rsidRPr="00467CCF">
        <w:rPr>
          <w:rFonts w:ascii="Times New Roman" w:eastAsia="Times New Roman" w:hAnsi="Times New Roman" w:cs="Times New Roman"/>
          <w:sz w:val="18"/>
          <w:szCs w:val="18"/>
          <w:lang w:eastAsia="fr-FR"/>
        </w:rPr>
        <w:br/>
        <w:t>L'assurance de groupe est dite à adhésion obligatoire lorsqu'elle satisfait aux conditions suivantes :</w:t>
      </w:r>
      <w:r w:rsidRPr="00467CCF">
        <w:rPr>
          <w:rFonts w:ascii="Times New Roman" w:eastAsia="Times New Roman" w:hAnsi="Times New Roman" w:cs="Times New Roman"/>
          <w:sz w:val="18"/>
          <w:szCs w:val="18"/>
          <w:lang w:eastAsia="fr-FR"/>
        </w:rPr>
        <w:br/>
        <w:t>1° Etre souscrite, soit par un ou plusieurs établissements, entreprises ou organismes ayant un objet principal autre que cette souscription, soit par une association ou une société mutualiste groupant des personnes obligées de contracter une assurance déterminée ;</w:t>
      </w:r>
      <w:r w:rsidRPr="00467CCF">
        <w:rPr>
          <w:rFonts w:ascii="Times New Roman" w:eastAsia="Times New Roman" w:hAnsi="Times New Roman" w:cs="Times New Roman"/>
          <w:sz w:val="18"/>
          <w:szCs w:val="18"/>
          <w:lang w:eastAsia="fr-FR"/>
        </w:rPr>
        <w:br/>
        <w:t>2° Grouper 75 p. 100 au moins de l'effectif assurable ou 75 p. 100 au moins d'une fraction de celui-ci définie en fonction d'un critère objectif autre que l'âge, et notamment de la qualification, de l'ancienneté, du revenu professionnel ou de la classe ou catégorie de cotisations à un régime de retraite, du chiffre d'affaires ou de l'effectif des entreprises ou des salaires payés par elles ;</w:t>
      </w:r>
      <w:r w:rsidRPr="00467CCF">
        <w:rPr>
          <w:rFonts w:ascii="Times New Roman" w:eastAsia="Times New Roman" w:hAnsi="Times New Roman" w:cs="Times New Roman"/>
          <w:sz w:val="18"/>
          <w:szCs w:val="18"/>
          <w:lang w:eastAsia="fr-FR"/>
        </w:rPr>
        <w:br/>
        <w:t>3° Prévoir un capital assuré calculé d'après un critère objectif qui doit être le même pour tous ;</w:t>
      </w:r>
      <w:r w:rsidRPr="00467CCF">
        <w:rPr>
          <w:rFonts w:ascii="Times New Roman" w:eastAsia="Times New Roman" w:hAnsi="Times New Roman" w:cs="Times New Roman"/>
          <w:sz w:val="18"/>
          <w:szCs w:val="18"/>
          <w:lang w:eastAsia="fr-FR"/>
        </w:rPr>
        <w:br/>
        <w:t>4° Compter au moins vingt-cinq assurés. L'assureur peut, pour satisfaire à cette exigence, réunir plusieurs souscripteurs, l'ensemble des assurés présentés par chacun de ces souscripteurs remplissant les conditions mentionnées au 2° ;</w:t>
      </w:r>
      <w:r w:rsidRPr="00467CCF">
        <w:rPr>
          <w:rFonts w:ascii="Times New Roman" w:eastAsia="Times New Roman" w:hAnsi="Times New Roman" w:cs="Times New Roman"/>
          <w:sz w:val="18"/>
          <w:szCs w:val="18"/>
          <w:lang w:eastAsia="fr-FR"/>
        </w:rPr>
        <w:br/>
        <w:t>5° Prévoir une clause subordonnant la mise en vigueur du contrat et ses renouvellements à la réalisation des conditions ci-dessus.</w:t>
      </w:r>
    </w:p>
    <w:p w14:paraId="7D93D3D8"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140-3</w:t>
      </w:r>
    </w:p>
    <w:p w14:paraId="7A6C1F98" w14:textId="77777777" w:rsid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L'assurance de groupe est dite à adhésion facultative lorsqu'une ou plusieurs des conditions prévues à l'article R. 140-2 ne sont pas satisfaites.</w:t>
      </w:r>
    </w:p>
    <w:p w14:paraId="2B32F3FD" w14:textId="59A3C291"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Dans ce cas, si l'effectif assurable du groupe considéré ne dépasse pas cent personnes, le nombre des assurés doit atteindre 75 p. 100 de cet effectif et au moins cinquante personnes ; si l'effectif est compris entre cent et mille personnes, le nombre des assurés doit atteindre 50 p. 100 de cet effectif et au moins soixante-quinze personnes ; si l'effectif est égal ou supérieur à mille personnes, le nombre des assurés doit atteindre au moins cinq cents personnes.</w:t>
      </w:r>
    </w:p>
    <w:p w14:paraId="5CC707C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140-4</w:t>
      </w:r>
    </w:p>
    <w:p w14:paraId="5A813E98"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Sauf en cas de réticence, omission ou déclaration fausse ou inexacte faite de mauvaise foi par l'assuré, celui-ci ne peut être éliminé de l'assurance contre son gré tant qu'il fait partie de l'effectif assurable du groupe et à la condition que la prime ait été payée.</w:t>
      </w:r>
    </w:p>
    <w:p w14:paraId="2B4B320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140-5</w:t>
      </w:r>
    </w:p>
    <w:p w14:paraId="7EC9E93C"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contrat ne peut prévoir la réduction du montant des garanties en raison des résultats constatés.</w:t>
      </w:r>
      <w:r w:rsidRPr="00467CCF">
        <w:rPr>
          <w:rFonts w:ascii="Times New Roman" w:eastAsia="Times New Roman" w:hAnsi="Times New Roman" w:cs="Times New Roman"/>
          <w:sz w:val="18"/>
          <w:szCs w:val="18"/>
          <w:lang w:eastAsia="fr-FR"/>
        </w:rPr>
        <w:br/>
        <w:t>La police doit comporter une clause prévoyant que le souscripteur tient à la disposition des assurés une notice résumant d'une manière très précise leurs droits et obligations.</w:t>
      </w:r>
    </w:p>
    <w:p w14:paraId="2305AEB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140-6</w:t>
      </w:r>
    </w:p>
    <w:p w14:paraId="2C0B7493"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mode de calcul de la prime globale doit être indiqué dans la police.</w:t>
      </w:r>
      <w:r w:rsidRPr="00467CCF">
        <w:rPr>
          <w:rFonts w:ascii="Times New Roman" w:eastAsia="Times New Roman" w:hAnsi="Times New Roman" w:cs="Times New Roman"/>
          <w:sz w:val="18"/>
          <w:szCs w:val="18"/>
          <w:lang w:eastAsia="fr-FR"/>
        </w:rPr>
        <w:br/>
        <w:t>Le contrat peut prévoir l'attribution d'une participation aux bénéfices de mortalité effectivement constatés au cours d'une période écoulée. Est interdite toute autre clause ou convention ayant pour effet de réduire la prime par rapport au tarif visé.</w:t>
      </w:r>
      <w:r w:rsidRPr="00467CCF">
        <w:rPr>
          <w:rFonts w:ascii="Times New Roman" w:eastAsia="Times New Roman" w:hAnsi="Times New Roman" w:cs="Times New Roman"/>
          <w:sz w:val="18"/>
          <w:szCs w:val="18"/>
          <w:lang w:eastAsia="fr-FR"/>
        </w:rPr>
        <w:br/>
        <w:t>Le contrat doit prévoir que la prime stipulée, ou à défaut une provision suffisante, sera payée d'avance. Les primes ou provisions s'appliquent à des périodes dont la durée est indiquée au contrat sans pouvoir dépasser un an.</w:t>
      </w:r>
      <w:r w:rsidRPr="00467CCF">
        <w:rPr>
          <w:rFonts w:ascii="Times New Roman" w:eastAsia="Times New Roman" w:hAnsi="Times New Roman" w:cs="Times New Roman"/>
          <w:sz w:val="18"/>
          <w:szCs w:val="18"/>
          <w:lang w:eastAsia="fr-FR"/>
        </w:rPr>
        <w:br/>
      </w:r>
      <w:r w:rsidRPr="00467CCF">
        <w:rPr>
          <w:rFonts w:ascii="Times New Roman" w:eastAsia="Times New Roman" w:hAnsi="Times New Roman" w:cs="Times New Roman"/>
          <w:sz w:val="18"/>
          <w:szCs w:val="18"/>
          <w:lang w:eastAsia="fr-FR"/>
        </w:rPr>
        <w:lastRenderedPageBreak/>
        <w:t>Sauf justification produite par l'assureur et conduisant à une estimation différente, la provision doit, pour être réputée suffisante, être calculée, d'une part, en supposant que chaque assuré est garanti pour le capital moyen de la dernière période inventorielle pour le groupe ou, à défaut, pour le capital le plus élevé stipulé en faveur d'un assuré sans charge de famille et, d'autre part, en appliquant le taux de prime définitif de ladite période ou, à défaut, celui visé pour l'âge de quarante-cinq ans.</w:t>
      </w:r>
      <w:r w:rsidRPr="00467CCF">
        <w:rPr>
          <w:rFonts w:ascii="Times New Roman" w:eastAsia="Times New Roman" w:hAnsi="Times New Roman" w:cs="Times New Roman"/>
          <w:sz w:val="18"/>
          <w:szCs w:val="18"/>
          <w:lang w:eastAsia="fr-FR"/>
        </w:rPr>
        <w:br/>
        <w:t>Une clause, mentionnée en caractères très apparents dans la police et dans la notice prévue au deuxième alinéa de l'article R. 140-5, prévoit que, dans les cas où il y aurait lieu à ajustement de la prime, celui-ci doit être effectué au plus tard dans les six mois qui suivent l'expiration de la période garantie. L'assureur ne peut renoncer au bénéfice de tout ou partie de cet ajustement sous quelque forme que ce soit.</w:t>
      </w:r>
      <w:r w:rsidRPr="00467CCF">
        <w:rPr>
          <w:rFonts w:ascii="Times New Roman" w:eastAsia="Times New Roman" w:hAnsi="Times New Roman" w:cs="Times New Roman"/>
          <w:sz w:val="18"/>
          <w:szCs w:val="18"/>
          <w:lang w:eastAsia="fr-FR"/>
        </w:rPr>
        <w:br/>
        <w:t>Les contrats ne peuvent entrer en vigueur que le lendemain à midi du versement de la première prime ou provision. A défaut du paiement à l'échéance d'une prime ou provision suffisante, l'assureur doit, au plus tard six mois après l'échéance de la prime impayée, adresser au souscripteur la lettre recommandée prévue au deuxième alinéa de l'article L. 113-3.</w:t>
      </w:r>
    </w:p>
    <w:p w14:paraId="4E83EEB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140-7</w:t>
      </w:r>
    </w:p>
    <w:p w14:paraId="3668B420"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Est interdite la souscription ou l'exécution par un assureur d'un contrat d'assurance de groupe non conforme aux dispositions du présent titre ou qui comporterait des clauses particulières y dérogeant.</w:t>
      </w:r>
      <w:r w:rsidRPr="00467CCF">
        <w:rPr>
          <w:rFonts w:ascii="Times New Roman" w:eastAsia="Times New Roman" w:hAnsi="Times New Roman" w:cs="Times New Roman"/>
          <w:sz w:val="18"/>
          <w:szCs w:val="18"/>
          <w:lang w:eastAsia="fr-FR"/>
        </w:rPr>
        <w:br/>
        <w:t>Les dispositions susmentionnées doivent être insérées dans les conditions générales soumises au visa du ministre de l'économie et des finances, conformément aux prescriptions du premier alinéa de l'article R. 310-6.</w:t>
      </w:r>
    </w:p>
    <w:p w14:paraId="69D2EF76"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140-8</w:t>
      </w:r>
    </w:p>
    <w:p w14:paraId="5C3978C7"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dispositions du présent titre sont applicables dans les territoires de la Nouvelle-Calédonie, de la Polynésie française, de Saint-Pierre et Miquelon, des Terres australes et antarctiques françaises et de Wallis et Futuna.</w:t>
      </w:r>
    </w:p>
    <w:p w14:paraId="23DB4E40"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Titre V - Le contrat de capitalisation</w:t>
      </w:r>
    </w:p>
    <w:p w14:paraId="2F55AC91" w14:textId="77777777" w:rsidR="00467CCF" w:rsidRPr="00467CCF" w:rsidRDefault="00467CCF" w:rsidP="00467CCF">
      <w:pPr>
        <w:spacing w:before="120"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unique</w:t>
      </w:r>
    </w:p>
    <w:p w14:paraId="04C9FCD0" w14:textId="77777777" w:rsidR="00467CCF" w:rsidRPr="00467CCF" w:rsidRDefault="00467CCF" w:rsidP="00467CCF">
      <w:pPr>
        <w:spacing w:before="120"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1 - Dispositions générales</w:t>
      </w:r>
    </w:p>
    <w:p w14:paraId="53F46BA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w:t>
      </w:r>
    </w:p>
    <w:p w14:paraId="62D22F45"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Tout titre ou contrat de capitalisation doit indiquer :</w:t>
      </w:r>
      <w:r w:rsidRPr="00467CCF">
        <w:rPr>
          <w:rFonts w:ascii="Times New Roman" w:eastAsia="Times New Roman" w:hAnsi="Times New Roman" w:cs="Times New Roman"/>
          <w:sz w:val="18"/>
          <w:szCs w:val="18"/>
          <w:lang w:eastAsia="fr-FR"/>
        </w:rPr>
        <w:br/>
        <w:t>1° Le montant du capital remboursable à l'échéance et le montant à toute époque du capital remboursable par anticipation ;</w:t>
      </w:r>
      <w:r w:rsidRPr="00467CCF">
        <w:rPr>
          <w:rFonts w:ascii="Times New Roman" w:eastAsia="Times New Roman" w:hAnsi="Times New Roman" w:cs="Times New Roman"/>
          <w:sz w:val="18"/>
          <w:szCs w:val="18"/>
          <w:lang w:eastAsia="fr-FR"/>
        </w:rPr>
        <w:br/>
        <w:t>2° Le montant et la date d'exigibilité des versements ;</w:t>
      </w:r>
      <w:r w:rsidRPr="00467CCF">
        <w:rPr>
          <w:rFonts w:ascii="Times New Roman" w:eastAsia="Times New Roman" w:hAnsi="Times New Roman" w:cs="Times New Roman"/>
          <w:sz w:val="18"/>
          <w:szCs w:val="18"/>
          <w:lang w:eastAsia="fr-FR"/>
        </w:rPr>
        <w:br/>
        <w:t>3° La date de prise d'effet ainsi que la date d'échéance du contrat ;</w:t>
      </w:r>
      <w:r w:rsidRPr="00467CCF">
        <w:rPr>
          <w:rFonts w:ascii="Times New Roman" w:eastAsia="Times New Roman" w:hAnsi="Times New Roman" w:cs="Times New Roman"/>
          <w:sz w:val="18"/>
          <w:szCs w:val="18"/>
          <w:lang w:eastAsia="fr-FR"/>
        </w:rPr>
        <w:br/>
        <w:t>4° La valeur de rachat du contrat d'année en année ;</w:t>
      </w:r>
      <w:r w:rsidRPr="00467CCF">
        <w:rPr>
          <w:rFonts w:ascii="Times New Roman" w:eastAsia="Times New Roman" w:hAnsi="Times New Roman" w:cs="Times New Roman"/>
          <w:sz w:val="18"/>
          <w:szCs w:val="18"/>
          <w:lang w:eastAsia="fr-FR"/>
        </w:rPr>
        <w:br/>
        <w:t>5° Les conditions dans lesquelles l'entreprise peut consentir des avances ;</w:t>
      </w:r>
      <w:r w:rsidRPr="00467CCF">
        <w:rPr>
          <w:rFonts w:ascii="Times New Roman" w:eastAsia="Times New Roman" w:hAnsi="Times New Roman" w:cs="Times New Roman"/>
          <w:sz w:val="18"/>
          <w:szCs w:val="18"/>
          <w:lang w:eastAsia="fr-FR"/>
        </w:rPr>
        <w:br/>
        <w:t>6° Les conditions de déchéance opposables aux souscripteurs pour retard dans les versements, sans que ces déchéances puissent avoir effet avant un délai d'un mois à dater du jour de l'échéance ; ce délai ne court, si le contrat est nominatif, qu'à partir d'une mise en demeure par lettre recommandée ;</w:t>
      </w:r>
      <w:r w:rsidRPr="00467CCF">
        <w:rPr>
          <w:rFonts w:ascii="Times New Roman" w:eastAsia="Times New Roman" w:hAnsi="Times New Roman" w:cs="Times New Roman"/>
          <w:sz w:val="18"/>
          <w:szCs w:val="18"/>
          <w:lang w:eastAsia="fr-FR"/>
        </w:rPr>
        <w:br/>
        <w:t>7° La substitution de plein droit de tous les héritiers des titulaires de contrats nominatifs auxdits titulaires, ainsi que l'interdiction pour l'entreprise de stipuler à leur décès aucun versement supplémentaire ou aucune retenue spéciale ;</w:t>
      </w:r>
      <w:r w:rsidRPr="00467CCF">
        <w:rPr>
          <w:rFonts w:ascii="Times New Roman" w:eastAsia="Times New Roman" w:hAnsi="Times New Roman" w:cs="Times New Roman"/>
          <w:sz w:val="18"/>
          <w:szCs w:val="18"/>
          <w:lang w:eastAsia="fr-FR"/>
        </w:rPr>
        <w:br/>
        <w:t>8° La limitation des sommes à prélever pour frais de gestion en proportion des versements ;</w:t>
      </w:r>
      <w:r w:rsidRPr="00467CCF">
        <w:rPr>
          <w:rFonts w:ascii="Times New Roman" w:eastAsia="Times New Roman" w:hAnsi="Times New Roman" w:cs="Times New Roman"/>
          <w:sz w:val="18"/>
          <w:szCs w:val="18"/>
          <w:lang w:eastAsia="fr-FR"/>
        </w:rPr>
        <w:br/>
        <w:t>9° Le numéro ou la combinaison de lettres dont la désignation par le sort peut entraîner le remboursement anticipé à la suite de tirages ;</w:t>
      </w:r>
      <w:r w:rsidRPr="00467CCF">
        <w:rPr>
          <w:rFonts w:ascii="Times New Roman" w:eastAsia="Times New Roman" w:hAnsi="Times New Roman" w:cs="Times New Roman"/>
          <w:sz w:val="18"/>
          <w:szCs w:val="18"/>
          <w:lang w:eastAsia="fr-FR"/>
        </w:rPr>
        <w:br/>
        <w:t>10° Le nombre des tirages par an, ainsi que leurs dates ;</w:t>
      </w:r>
      <w:r w:rsidRPr="00467CCF">
        <w:rPr>
          <w:rFonts w:ascii="Times New Roman" w:eastAsia="Times New Roman" w:hAnsi="Times New Roman" w:cs="Times New Roman"/>
          <w:sz w:val="18"/>
          <w:szCs w:val="18"/>
          <w:lang w:eastAsia="fr-FR"/>
        </w:rPr>
        <w:br/>
        <w:t>11° Le mécanisme des tirages et les conditions de publicité dans lesquelles ils s'effectuent ;</w:t>
      </w:r>
      <w:r w:rsidRPr="00467CCF">
        <w:rPr>
          <w:rFonts w:ascii="Times New Roman" w:eastAsia="Times New Roman" w:hAnsi="Times New Roman" w:cs="Times New Roman"/>
          <w:sz w:val="18"/>
          <w:szCs w:val="18"/>
          <w:lang w:eastAsia="fr-FR"/>
        </w:rPr>
        <w:br/>
        <w:t>12° Les ressources qui alimentent les tirages lorsqu'ils ne sont pas garantis, la proportion des titres remboursés par anticipation avec la spécification de la méthode employée pour la désignation des titres par le sort.</w:t>
      </w:r>
    </w:p>
    <w:p w14:paraId="346C48DA"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150-2</w:t>
      </w:r>
      <w:r w:rsidRPr="00467CCF">
        <w:rPr>
          <w:rFonts w:ascii="Times New Roman" w:eastAsia="Times New Roman" w:hAnsi="Times New Roman" w:cs="Times New Roman"/>
          <w:i/>
          <w:iCs/>
          <w:sz w:val="16"/>
          <w:szCs w:val="16"/>
          <w:lang w:eastAsia="fr-FR"/>
        </w:rPr>
        <w:t>Rédaction issue de Décret n° 79-792 du 4 septembre 1979 (</w:t>
      </w:r>
      <w:hyperlink r:id="rId22"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3933A46B"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durée des contrats de capitalisation ne peut pas dépasser trente ans. Lorsqu'elle excède vingt-cinq ans, la valeur de rachat après vingt-cinq ans ne peut pas être inférieure à la provision mathématique.</w:t>
      </w:r>
      <w:r w:rsidRPr="00467CCF">
        <w:rPr>
          <w:rFonts w:ascii="Times New Roman" w:eastAsia="Times New Roman" w:hAnsi="Times New Roman" w:cs="Times New Roman"/>
          <w:sz w:val="18"/>
          <w:szCs w:val="18"/>
          <w:lang w:eastAsia="fr-FR"/>
        </w:rPr>
        <w:br/>
        <w:t>Il est interdit de percevoir sous quelque forme que ce soit des droits d'entrée.</w:t>
      </w:r>
    </w:p>
    <w:p w14:paraId="0D3772D1"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2 - Rachat</w:t>
      </w:r>
    </w:p>
    <w:p w14:paraId="233C7C8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150-3</w:t>
      </w:r>
    </w:p>
    <w:p w14:paraId="62819D75"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lastRenderedPageBreak/>
        <w:t>Tout contrat de capitalisation libéré de ses versements à concurrence de 8 p. 100, ou, si la durée de paiement des primes dépasse vingt-cinq ans, après que deux primes annuelles ont été payées, doit comporter une valeur de rachat, calculée dans les conditions fixées par arrêté du ministre de l'économie et des finances pris après avis du conseil national des assurances.</w:t>
      </w:r>
    </w:p>
    <w:p w14:paraId="2182729D"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3 - Tirages au sort</w:t>
      </w:r>
    </w:p>
    <w:p w14:paraId="2473B41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150-4</w:t>
      </w:r>
    </w:p>
    <w:p w14:paraId="05D0EC5E"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En cas de tirage au sort, les sommes remboursées doivent être, soit égales, soit croissantes avec les tirages successifs, sans pouvoir dépasser le capital remboursable à l'échéance.</w:t>
      </w:r>
      <w:r w:rsidRPr="00467CCF">
        <w:rPr>
          <w:rFonts w:ascii="Times New Roman" w:eastAsia="Times New Roman" w:hAnsi="Times New Roman" w:cs="Times New Roman"/>
          <w:sz w:val="18"/>
          <w:szCs w:val="18"/>
          <w:lang w:eastAsia="fr-FR"/>
        </w:rPr>
        <w:br/>
        <w:t>Les tirages ne peuvent avoir lieu plus d'une fois par mois.</w:t>
      </w:r>
      <w:r w:rsidRPr="00467CCF">
        <w:rPr>
          <w:rFonts w:ascii="Times New Roman" w:eastAsia="Times New Roman" w:hAnsi="Times New Roman" w:cs="Times New Roman"/>
          <w:sz w:val="18"/>
          <w:szCs w:val="18"/>
          <w:lang w:eastAsia="fr-FR"/>
        </w:rPr>
        <w:br/>
        <w:t>Les conditions dans lesquelles s'effectuent les tirages au sort et la publicité donnée à leurs résultats sont fixées par décret pris après avis du conseil national des assurances.</w:t>
      </w:r>
    </w:p>
    <w:p w14:paraId="3B0877F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150-5</w:t>
      </w:r>
    </w:p>
    <w:p w14:paraId="4EEFF455"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tirages au sort qui servent à déterminer les contrats ou titres de capitalisation remboursables par anticipation doivent s'effectuer publiquement en présence d'un huissier, aux lieux fixés par les contrats, et dans les conditions prévues par lesdits contrats et par la présente section.</w:t>
      </w:r>
      <w:r w:rsidRPr="00467CCF">
        <w:rPr>
          <w:rFonts w:ascii="Times New Roman" w:eastAsia="Times New Roman" w:hAnsi="Times New Roman" w:cs="Times New Roman"/>
          <w:sz w:val="18"/>
          <w:szCs w:val="18"/>
          <w:lang w:eastAsia="fr-FR"/>
        </w:rPr>
        <w:br/>
        <w:t>Tout bulletin de souscription doit mentionner en caractères gras que les titres ne peuvent être remboursés par anticipation que par tirage au sort effectué en présence d'un huissier.</w:t>
      </w:r>
    </w:p>
    <w:p w14:paraId="667D4F65"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150-6</w:t>
      </w:r>
    </w:p>
    <w:p w14:paraId="705BD2D2"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Après chaque tirage, il est établi une liste complète des numéros ou des combinaisons de lettres sortis des urnes ou désignés par des roues ou tout autre appareil agréé par le ministre de l'économie et des finances, ainsi que des numéros pouvant se déduire immédiatement des premiers par une méthode simple dont l'explication est donnée sur le titre et pouvant être, dès lors, considérés comme exclusivement désignés par le tirage de ces premiers numéros. Chaque tarif doit faire l'objet d'une liste distincte.</w:t>
      </w:r>
    </w:p>
    <w:p w14:paraId="0DB3A92B"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150-7</w:t>
      </w:r>
    </w:p>
    <w:p w14:paraId="406D993C"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Un procès-verbal du tirage, comportant notamment la liste mentionnée à l'article R. 150.6, est établi, à l'issue du tirage, par l'huissier, en présence des personnes ayant assisté au tirage.</w:t>
      </w:r>
    </w:p>
    <w:p w14:paraId="479C58A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150-8</w:t>
      </w:r>
    </w:p>
    <w:p w14:paraId="5400FD6A"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En cas de sortie d'un titre à un tirage, l'entreprise doit, avant toute démarche de ses représentants auprès du bénéficiaire, adresser par la poste à ce dernier une lettre l'informant que son contrat avec l'entreprise a pris fin et qu'il lui sera payé, sans aucune retenue et sans aucune obligation de sa part, ni à l'égard de la personne qui fera le paiement, ni à l'égard de l'entreprise, la somme fixée par les conditions générales de son titre et reproduite dans ladite lettre.</w:t>
      </w:r>
    </w:p>
    <w:p w14:paraId="4506BF0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150-9</w:t>
      </w:r>
    </w:p>
    <w:p w14:paraId="2EDC0CA5"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Après chaque tirage et clans un délai de huit jours, les entreprises doivent publier la liste prévue à l'article R. 150-6 et, en regard de celle-ci, une seconde liste indiquant les contrats ou titres effectivement remboursables. Cette dernière liste ne peut comporter d'autres numéros ou combinaisons de lettres que ceux figurant sur la première.</w:t>
      </w:r>
      <w:r w:rsidRPr="00467CCF">
        <w:rPr>
          <w:rFonts w:ascii="Times New Roman" w:eastAsia="Times New Roman" w:hAnsi="Times New Roman" w:cs="Times New Roman"/>
          <w:sz w:val="18"/>
          <w:szCs w:val="18"/>
          <w:lang w:eastAsia="fr-FR"/>
        </w:rPr>
        <w:br/>
        <w:t>Un exemplaire contenant les deux listes est adressé au ministre de l'économie et des finances.</w:t>
      </w:r>
    </w:p>
    <w:p w14:paraId="4ADDF54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150-10</w:t>
      </w:r>
    </w:p>
    <w:p w14:paraId="401673E3"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Copie des deux listes mentionnées à l'article R. 150-9 doit être adressée à toute personne intéressée, sur sa demande, moyennant le paiement d'une somme qui ne peut excéder un franc.</w:t>
      </w:r>
    </w:p>
    <w:p w14:paraId="3868AAE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150-11</w:t>
      </w:r>
    </w:p>
    <w:p w14:paraId="2272094F"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Toute personne intéressée a droit, après chaque tirage, sur sa demande, à la délivrance d'une liste intégrale des titres sortis dans les séries qui l'intéressent et non encore remboursés.</w:t>
      </w:r>
    </w:p>
    <w:p w14:paraId="0BDBF2EB"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lastRenderedPageBreak/>
        <w:t>Art. R. 150-12</w:t>
      </w:r>
    </w:p>
    <w:p w14:paraId="1002E556"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entreprises de capitalisation ne peuvent faire aucune publicité concernant les tirages au sort par voie d'affiches, journaux, placards, documents ou tous autres moyens, sans en avoir soumis le texte au visa préalable du ministre de l'économie et des finances, qui doit faire connaître sa décision dans la quinzaine de la réception.</w:t>
      </w:r>
      <w:r w:rsidRPr="00467CCF">
        <w:rPr>
          <w:rFonts w:ascii="Times New Roman" w:eastAsia="Times New Roman" w:hAnsi="Times New Roman" w:cs="Times New Roman"/>
          <w:sz w:val="18"/>
          <w:szCs w:val="18"/>
          <w:lang w:eastAsia="fr-FR"/>
        </w:rPr>
        <w:br/>
        <w:t>Aucune modification ou adjonction ne peut être apportée à la présentation des dispositions dont l'insertion est obligatoire, qu'après l'obtention d’un nouveau visa dans les conditions indiquées à l'alinéa précédent.</w:t>
      </w:r>
    </w:p>
    <w:p w14:paraId="5A24BE0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150-13</w:t>
      </w:r>
    </w:p>
    <w:p w14:paraId="4E9BE033"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Tous documents relatifs aux tirages au sort doivent contenir sommairement les indications suivantes :</w:t>
      </w:r>
      <w:r w:rsidRPr="00467CCF">
        <w:rPr>
          <w:rFonts w:ascii="Times New Roman" w:eastAsia="Times New Roman" w:hAnsi="Times New Roman" w:cs="Times New Roman"/>
          <w:sz w:val="18"/>
          <w:szCs w:val="18"/>
          <w:lang w:eastAsia="fr-FR"/>
        </w:rPr>
        <w:br/>
        <w:t>1° Le nombre des tirages par an, ainsi que leurs dates et la durée des titres ;</w:t>
      </w:r>
      <w:r w:rsidRPr="00467CCF">
        <w:rPr>
          <w:rFonts w:ascii="Times New Roman" w:eastAsia="Times New Roman" w:hAnsi="Times New Roman" w:cs="Times New Roman"/>
          <w:sz w:val="18"/>
          <w:szCs w:val="18"/>
          <w:lang w:eastAsia="fr-FR"/>
        </w:rPr>
        <w:br/>
        <w:t>2° Le mécanisme des tirages et les conditions de la publicité dans lesquelles ils s'effectuent ;</w:t>
      </w:r>
      <w:r w:rsidRPr="00467CCF">
        <w:rPr>
          <w:rFonts w:ascii="Times New Roman" w:eastAsia="Times New Roman" w:hAnsi="Times New Roman" w:cs="Times New Roman"/>
          <w:sz w:val="18"/>
          <w:szCs w:val="18"/>
          <w:lang w:eastAsia="fr-FR"/>
        </w:rPr>
        <w:br/>
        <w:t>3° Les ressources qui alimentent les tirages lorsqu'ils ne sont pas garantis, la proportion des titres remboursés par anticipation à chaque tirage, avec la spécification de la méthode employée pour la désignation des titres par le sort ;</w:t>
      </w:r>
      <w:r w:rsidRPr="00467CCF">
        <w:rPr>
          <w:rFonts w:ascii="Times New Roman" w:eastAsia="Times New Roman" w:hAnsi="Times New Roman" w:cs="Times New Roman"/>
          <w:sz w:val="18"/>
          <w:szCs w:val="18"/>
          <w:lang w:eastAsia="fr-FR"/>
        </w:rPr>
        <w:br/>
        <w:t>4° Les conditions que doit remplir le titre pour participer aux tirages et être payable.</w:t>
      </w:r>
    </w:p>
    <w:p w14:paraId="4CF4D872"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150-14</w:t>
      </w:r>
    </w:p>
    <w:p w14:paraId="68207809"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Si les documents susmentionnés comportent l'énonciation de titres sortis au tirage, cette énonciation ne peut être faite que sous la forme d'une reproduction des deux listes prévues à l'article R. 150-9, chaque liste étant précédée de l'indication du tarif en question et de la date du tirage au cours duquel les numéros énoncés sont sortis.</w:t>
      </w:r>
    </w:p>
    <w:p w14:paraId="40A9DD5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150-15</w:t>
      </w:r>
    </w:p>
    <w:p w14:paraId="4F9C436B"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Toutefois, les entreprises qui s'engagent par une lettre adressée au ministre de l'économie et des finances :</w:t>
      </w:r>
      <w:r w:rsidRPr="00467CCF">
        <w:rPr>
          <w:rFonts w:ascii="Times New Roman" w:eastAsia="Times New Roman" w:hAnsi="Times New Roman" w:cs="Times New Roman"/>
          <w:sz w:val="18"/>
          <w:szCs w:val="18"/>
          <w:lang w:eastAsia="fr-FR"/>
        </w:rPr>
        <w:br/>
        <w:t>1° A imprimer, par tirages et par tarifs, les listes mentionnées à l'article R. 150-9 ;</w:t>
      </w:r>
      <w:r w:rsidRPr="00467CCF">
        <w:rPr>
          <w:rFonts w:ascii="Times New Roman" w:eastAsia="Times New Roman" w:hAnsi="Times New Roman" w:cs="Times New Roman"/>
          <w:sz w:val="18"/>
          <w:szCs w:val="18"/>
          <w:lang w:eastAsia="fr-FR"/>
        </w:rPr>
        <w:br/>
        <w:t>2° A distribuer gratuitement ces listes à leur siège social et à en faire l'envoi gratuit à tout intéressé qui le demande par lettre, sont admises à insérer dans la presse des avis ne contenant, outre les indications prescrites par l'article R. 150-13, que la liste des contrats ou titres effectivement remboursables ou qu'un extrait régional de cette liste.</w:t>
      </w:r>
      <w:r w:rsidRPr="00467CCF">
        <w:rPr>
          <w:rFonts w:ascii="Times New Roman" w:eastAsia="Times New Roman" w:hAnsi="Times New Roman" w:cs="Times New Roman"/>
          <w:sz w:val="18"/>
          <w:szCs w:val="18"/>
          <w:lang w:eastAsia="fr-FR"/>
        </w:rPr>
        <w:br/>
        <w:t>Dans ce cas, la liste ou l'extrait régional est suivi de la mention ci-après imprimée en caractères très apparents : « L'entreprise remet ou envoie gratuitement à tout intéressé, sur sa demande, la liste complète des numéros désignés par le sort avec, en regard, les numéros des titres effectivement remboursables. »</w:t>
      </w:r>
    </w:p>
    <w:p w14:paraId="38D3354A"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4 - Faculté de dénonciation</w:t>
      </w:r>
    </w:p>
    <w:p w14:paraId="19B0346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150-16</w:t>
      </w:r>
    </w:p>
    <w:p w14:paraId="17D7D33A"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L'exercice du droit de dénonciation d'un contrat de capitalisation prévu par l'article L. 150.1 résulte de l'envoi, par le souscripteur, d'une lettre recommandée avec avis de réception, adressée au siège social de l'entreprise de capitalisation.</w:t>
      </w:r>
    </w:p>
    <w:p w14:paraId="4DCF103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150-17</w:t>
      </w:r>
    </w:p>
    <w:p w14:paraId="1BAD0384"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documents remis au client au moment de la souscription et valant preuve de l'engagement doivent comporter l'indication de la durée du délai accordé pour l'exercice du droit de dénonciation, ainsi que le rappel des conditions de cet exercice.</w:t>
      </w:r>
    </w:p>
    <w:p w14:paraId="576C9F0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150-18</w:t>
      </w:r>
    </w:p>
    <w:p w14:paraId="7D1D41E7"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Lorsque l'engagement comporte corrélativement la souscription d'une assurance en cas de décès, les documents mentionnés à l'article R. 150-17 doivent rappeler le sort de cette garantie en cas de dénonciation du contrat de capitalisation.</w:t>
      </w:r>
    </w:p>
    <w:p w14:paraId="667638DF"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5 - Participation des porteurs de titres aux bénéfices</w:t>
      </w:r>
      <w:r w:rsidRPr="00467CCF">
        <w:rPr>
          <w:rFonts w:ascii="Times New Roman" w:eastAsia="Times New Roman" w:hAnsi="Times New Roman" w:cs="Times New Roman"/>
          <w:b/>
          <w:bCs/>
          <w:caps/>
          <w:sz w:val="20"/>
          <w:szCs w:val="20"/>
          <w:lang w:eastAsia="fr-FR"/>
        </w:rPr>
        <w:br/>
      </w:r>
      <w:r w:rsidRPr="00467CCF">
        <w:rPr>
          <w:rFonts w:ascii="Times New Roman" w:eastAsia="Times New Roman" w:hAnsi="Times New Roman" w:cs="Times New Roman"/>
          <w:i/>
          <w:iCs/>
          <w:sz w:val="15"/>
          <w:szCs w:val="15"/>
          <w:lang w:eastAsia="fr-FR"/>
        </w:rPr>
        <w:t>Rédaction issue de Décret n° 82-617 du 16 juillet 1982 (</w:t>
      </w:r>
      <w:hyperlink r:id="rId23"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6070A9E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150-19</w:t>
      </w:r>
      <w:r w:rsidRPr="00467CCF">
        <w:rPr>
          <w:rFonts w:ascii="Times New Roman" w:eastAsia="Times New Roman" w:hAnsi="Times New Roman" w:cs="Times New Roman"/>
          <w:i/>
          <w:iCs/>
          <w:sz w:val="16"/>
          <w:szCs w:val="16"/>
          <w:lang w:eastAsia="fr-FR"/>
        </w:rPr>
        <w:t>Rédaction issue de Décret n° 82-617 du 16 juillet 1982 (</w:t>
      </w:r>
      <w:hyperlink r:id="rId24"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5D32525D"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A compter de l'exercice comptable débutant le 1er janvier 1981, les entreprises pratiquant des opérations de capitalisation doivent faire participer les porteurs de contrats à leurs résultats techniques et financiers.</w:t>
      </w:r>
      <w:r w:rsidRPr="00467CCF">
        <w:rPr>
          <w:rFonts w:ascii="Times New Roman" w:eastAsia="Times New Roman" w:hAnsi="Times New Roman" w:cs="Times New Roman"/>
          <w:sz w:val="18"/>
          <w:szCs w:val="18"/>
          <w:lang w:eastAsia="fr-FR"/>
        </w:rPr>
        <w:br/>
        <w:t>Pour chaque entreprise le montant minimal des bénéfices à attribuer au titre d'un exercice est déterminé globalement à partir d'un compte de résultats établi dans les conditions fixées par arrêté du ministre de l'économie et des finances.</w:t>
      </w:r>
      <w:r w:rsidRPr="00467CCF">
        <w:rPr>
          <w:rFonts w:ascii="Times New Roman" w:eastAsia="Times New Roman" w:hAnsi="Times New Roman" w:cs="Times New Roman"/>
          <w:sz w:val="18"/>
          <w:szCs w:val="18"/>
          <w:lang w:eastAsia="fr-FR"/>
        </w:rPr>
        <w:br/>
      </w:r>
      <w:r w:rsidRPr="00467CCF">
        <w:rPr>
          <w:rFonts w:ascii="Times New Roman" w:eastAsia="Times New Roman" w:hAnsi="Times New Roman" w:cs="Times New Roman"/>
          <w:sz w:val="18"/>
          <w:szCs w:val="18"/>
          <w:lang w:eastAsia="fr-FR"/>
        </w:rPr>
        <w:lastRenderedPageBreak/>
        <w:t>Ce compte de résultats porte sur les opérations réalisées en France dans les territoires d'outre-mer et dans la collectivité territoriale de Mayotte, à l'exclusion des acceptations en réassurance.</w:t>
      </w:r>
    </w:p>
    <w:p w14:paraId="6E8E9F0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150-20</w:t>
      </w:r>
      <w:r w:rsidRPr="00467CCF">
        <w:rPr>
          <w:rFonts w:ascii="Times New Roman" w:eastAsia="Times New Roman" w:hAnsi="Times New Roman" w:cs="Times New Roman"/>
          <w:i/>
          <w:iCs/>
          <w:sz w:val="16"/>
          <w:szCs w:val="16"/>
          <w:lang w:eastAsia="fr-FR"/>
        </w:rPr>
        <w:t>Rédaction issue de Décret n° 82-617 du 16 juillet 1982 (</w:t>
      </w:r>
      <w:hyperlink r:id="rId25"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70771F23"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dispositions du présent titre sont applicables dans les territoires de la Nouvelle-Calédonie, de la Polynésie française, des Terres australes et antarctiques françaises et de Wallis et Futuna, et dans la collectivité territoriale de Mayotte.</w:t>
      </w:r>
    </w:p>
    <w:p w14:paraId="24F27508"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Titre VI - Dispositions diverses relatives aux contrats d’assurance et de capitalisation</w:t>
      </w:r>
    </w:p>
    <w:p w14:paraId="04807C5E" w14:textId="77777777" w:rsidR="00467CCF" w:rsidRPr="00467CCF" w:rsidRDefault="00467CCF" w:rsidP="00467CCF">
      <w:pPr>
        <w:spacing w:before="120"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unique</w:t>
      </w:r>
    </w:p>
    <w:p w14:paraId="502FC810" w14:textId="77777777" w:rsidR="00467CCF" w:rsidRPr="00467CCF" w:rsidRDefault="00467CCF" w:rsidP="00467CCF">
      <w:pPr>
        <w:spacing w:before="120"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1 - Rédaction du contrat en langue française</w:t>
      </w:r>
    </w:p>
    <w:p w14:paraId="541AE43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160-1</w:t>
      </w:r>
    </w:p>
    <w:p w14:paraId="26B1894A"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conditions générales et particulières des contrats souscrits ou exécutés sur le territoire de la République française, les avenants et autres documents se rapportant à leur exécution doivent être rédigés en langue française.</w:t>
      </w:r>
      <w:r w:rsidRPr="00467CCF">
        <w:rPr>
          <w:rFonts w:ascii="Times New Roman" w:eastAsia="Times New Roman" w:hAnsi="Times New Roman" w:cs="Times New Roman"/>
          <w:sz w:val="18"/>
          <w:szCs w:val="18"/>
          <w:lang w:eastAsia="fr-FR"/>
        </w:rPr>
        <w:br/>
        <w:t>Toutefois, pour les risques liés aux transports internationaux, une dérogation peut être accordée pour chaque cas particulier par le ministre de l'économie et des finances.</w:t>
      </w:r>
      <w:r w:rsidRPr="00467CCF">
        <w:rPr>
          <w:rFonts w:ascii="Times New Roman" w:eastAsia="Times New Roman" w:hAnsi="Times New Roman" w:cs="Times New Roman"/>
          <w:sz w:val="18"/>
          <w:szCs w:val="18"/>
          <w:lang w:eastAsia="fr-FR"/>
        </w:rPr>
        <w:br/>
        <w:t>Les dispositions du présent article sont applicables dans les territoires de la Nouvelle-Calédonie, de la Polynésie française, de Saint-Pierre et Miquelon, des Terres australes et antarctiques françaises et de Wallis et Futuna.</w:t>
      </w:r>
    </w:p>
    <w:p w14:paraId="03ECB307"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Titre VII - Le contrat d’assurance maritime</w:t>
      </w:r>
    </w:p>
    <w:p w14:paraId="2A9CD089" w14:textId="77777777" w:rsidR="00467CCF" w:rsidRPr="00467CCF" w:rsidRDefault="00467CCF" w:rsidP="00467CCF">
      <w:pPr>
        <w:spacing w:before="120"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Ier – Dispositions générales</w:t>
      </w:r>
    </w:p>
    <w:p w14:paraId="5CF8EC1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171-1</w:t>
      </w:r>
    </w:p>
    <w:p w14:paraId="548508EA"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Ne peuvent être écartées par les parties au contrat les dispositions des articles R. 172-5 et R. 172-6.</w:t>
      </w:r>
    </w:p>
    <w:p w14:paraId="0EB3D07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171-2</w:t>
      </w:r>
    </w:p>
    <w:p w14:paraId="2350A4A5"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dispositions du présent titre sont applicables dans les territoires de la Nouvelle-Calédonie, de la Polynésie française, de Saint-Pierre et Miquelon, des Terres australes et antarctiques françaises et de Wallis et Futuna.</w:t>
      </w:r>
    </w:p>
    <w:p w14:paraId="67C911C0"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II - Règles communes aux diverses assurances maritimes</w:t>
      </w:r>
    </w:p>
    <w:p w14:paraId="27BADB5A" w14:textId="77777777" w:rsidR="00467CCF" w:rsidRPr="00467CCF" w:rsidRDefault="00467CCF" w:rsidP="00467CCF">
      <w:pPr>
        <w:spacing w:before="120"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1 - Conclusion du contrat</w:t>
      </w:r>
    </w:p>
    <w:p w14:paraId="467DD50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172-1</w:t>
      </w:r>
    </w:p>
    <w:p w14:paraId="646326E4"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preuve du contrat d'assurance doit être faite par écrit.</w:t>
      </w:r>
    </w:p>
    <w:p w14:paraId="4AD7EA7E"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172-2</w:t>
      </w:r>
    </w:p>
    <w:p w14:paraId="584BD2AB"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contrat d'assurance est constaté par une police, authentique ou sous seing privé.</w:t>
      </w:r>
      <w:r w:rsidRPr="00467CCF">
        <w:rPr>
          <w:rFonts w:ascii="Times New Roman" w:eastAsia="Times New Roman" w:hAnsi="Times New Roman" w:cs="Times New Roman"/>
          <w:sz w:val="18"/>
          <w:szCs w:val="18"/>
          <w:lang w:eastAsia="fr-FR"/>
        </w:rPr>
        <w:br/>
        <w:t>Avant l'établissement de la police ou d'un avenant, la preuve de l’engagement des parties peut être établie par tout autre écrit, notamment par arrêté d'assurance ou note de couverture.</w:t>
      </w:r>
    </w:p>
    <w:p w14:paraId="6FDDBD5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172-3</w:t>
      </w:r>
    </w:p>
    <w:p w14:paraId="28B6916C"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police d'assurance est datée du jour où elle est établie.</w:t>
      </w:r>
      <w:r w:rsidRPr="00467CCF">
        <w:rPr>
          <w:rFonts w:ascii="Times New Roman" w:eastAsia="Times New Roman" w:hAnsi="Times New Roman" w:cs="Times New Roman"/>
          <w:sz w:val="18"/>
          <w:szCs w:val="18"/>
          <w:lang w:eastAsia="fr-FR"/>
        </w:rPr>
        <w:br/>
        <w:t>Elle indique :</w:t>
      </w:r>
      <w:r w:rsidRPr="00467CCF">
        <w:rPr>
          <w:rFonts w:ascii="Times New Roman" w:eastAsia="Times New Roman" w:hAnsi="Times New Roman" w:cs="Times New Roman"/>
          <w:sz w:val="18"/>
          <w:szCs w:val="18"/>
          <w:lang w:eastAsia="fr-FR"/>
        </w:rPr>
        <w:br/>
        <w:t>- le lieu de souscription ;</w:t>
      </w:r>
      <w:r w:rsidRPr="00467CCF">
        <w:rPr>
          <w:rFonts w:ascii="Times New Roman" w:eastAsia="Times New Roman" w:hAnsi="Times New Roman" w:cs="Times New Roman"/>
          <w:sz w:val="18"/>
          <w:szCs w:val="18"/>
          <w:lang w:eastAsia="fr-FR"/>
        </w:rPr>
        <w:br/>
        <w:t>- le nom et le domicile des parties contractantes, avec l'indication, le cas échéant, que celui qui fait assurer agit pour le compte d'autrui ;</w:t>
      </w:r>
      <w:r w:rsidRPr="00467CCF">
        <w:rPr>
          <w:rFonts w:ascii="Times New Roman" w:eastAsia="Times New Roman" w:hAnsi="Times New Roman" w:cs="Times New Roman"/>
          <w:sz w:val="18"/>
          <w:szCs w:val="18"/>
          <w:lang w:eastAsia="fr-FR"/>
        </w:rPr>
        <w:br/>
        <w:t>- la chose ou l'intérêt assuré ;</w:t>
      </w:r>
      <w:r w:rsidRPr="00467CCF">
        <w:rPr>
          <w:rFonts w:ascii="Times New Roman" w:eastAsia="Times New Roman" w:hAnsi="Times New Roman" w:cs="Times New Roman"/>
          <w:sz w:val="18"/>
          <w:szCs w:val="18"/>
          <w:lang w:eastAsia="fr-FR"/>
        </w:rPr>
        <w:br/>
        <w:t>- les risques assurés ou les risques exclus ;</w:t>
      </w:r>
      <w:r w:rsidRPr="00467CCF">
        <w:rPr>
          <w:rFonts w:ascii="Times New Roman" w:eastAsia="Times New Roman" w:hAnsi="Times New Roman" w:cs="Times New Roman"/>
          <w:sz w:val="18"/>
          <w:szCs w:val="18"/>
          <w:lang w:eastAsia="fr-FR"/>
        </w:rPr>
        <w:br/>
        <w:t>- le temps et le lieu de ces risques ;</w:t>
      </w:r>
      <w:r w:rsidRPr="00467CCF">
        <w:rPr>
          <w:rFonts w:ascii="Times New Roman" w:eastAsia="Times New Roman" w:hAnsi="Times New Roman" w:cs="Times New Roman"/>
          <w:sz w:val="18"/>
          <w:szCs w:val="18"/>
          <w:lang w:eastAsia="fr-FR"/>
        </w:rPr>
        <w:br/>
        <w:t>- la somme assurée ;</w:t>
      </w:r>
      <w:r w:rsidRPr="00467CCF">
        <w:rPr>
          <w:rFonts w:ascii="Times New Roman" w:eastAsia="Times New Roman" w:hAnsi="Times New Roman" w:cs="Times New Roman"/>
          <w:sz w:val="18"/>
          <w:szCs w:val="18"/>
          <w:lang w:eastAsia="fr-FR"/>
        </w:rPr>
        <w:br/>
      </w:r>
      <w:r w:rsidRPr="00467CCF">
        <w:rPr>
          <w:rFonts w:ascii="Times New Roman" w:eastAsia="Times New Roman" w:hAnsi="Times New Roman" w:cs="Times New Roman"/>
          <w:sz w:val="18"/>
          <w:szCs w:val="18"/>
          <w:lang w:eastAsia="fr-FR"/>
        </w:rPr>
        <w:lastRenderedPageBreak/>
        <w:t>- la prime ;</w:t>
      </w:r>
      <w:r w:rsidRPr="00467CCF">
        <w:rPr>
          <w:rFonts w:ascii="Times New Roman" w:eastAsia="Times New Roman" w:hAnsi="Times New Roman" w:cs="Times New Roman"/>
          <w:sz w:val="18"/>
          <w:szCs w:val="18"/>
          <w:lang w:eastAsia="fr-FR"/>
        </w:rPr>
        <w:br/>
        <w:t>- la clause à ordre ou au porteur, si elle a été convenue.</w:t>
      </w:r>
    </w:p>
    <w:p w14:paraId="7EF5A0CA"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2 - Obligations de l’assureur et de l’assuré</w:t>
      </w:r>
    </w:p>
    <w:p w14:paraId="30266D4E" w14:textId="77777777" w:rsidR="00467CCF" w:rsidRPr="00467CCF" w:rsidRDefault="00467CCF" w:rsidP="00467CCF">
      <w:pPr>
        <w:spacing w:after="0" w:line="240" w:lineRule="auto"/>
        <w:rPr>
          <w:rFonts w:ascii="Times New Roman" w:eastAsia="Times New Roman" w:hAnsi="Times New Roman" w:cs="Times New Roman"/>
          <w:sz w:val="24"/>
          <w:szCs w:val="24"/>
          <w:lang w:eastAsia="fr-FR"/>
        </w:rPr>
      </w:pPr>
      <w:r w:rsidRPr="00467CCF">
        <w:rPr>
          <w:rFonts w:ascii="Times New Roman" w:eastAsia="Times New Roman" w:hAnsi="Times New Roman" w:cs="Times New Roman"/>
          <w:sz w:val="24"/>
          <w:szCs w:val="24"/>
          <w:lang w:eastAsia="fr-FR"/>
        </w:rPr>
        <w:t>Néant.</w:t>
      </w:r>
      <w:r w:rsidRPr="00467CCF">
        <w:rPr>
          <w:rFonts w:ascii="Times New Roman" w:eastAsia="Times New Roman" w:hAnsi="Times New Roman" w:cs="Times New Roman"/>
          <w:sz w:val="24"/>
          <w:szCs w:val="24"/>
          <w:lang w:eastAsia="fr-FR"/>
        </w:rPr>
        <w:br/>
      </w:r>
    </w:p>
    <w:p w14:paraId="4D3C0FFE"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3 - Règlement de l’indemnité</w:t>
      </w:r>
    </w:p>
    <w:p w14:paraId="143E682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172-4</w:t>
      </w:r>
    </w:p>
    <w:p w14:paraId="392D8032"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délaissement est notifié à l'assureur par lettre recommandée ou par acte extrajudiciaire.</w:t>
      </w:r>
      <w:r w:rsidRPr="00467CCF">
        <w:rPr>
          <w:rFonts w:ascii="Times New Roman" w:eastAsia="Times New Roman" w:hAnsi="Times New Roman" w:cs="Times New Roman"/>
          <w:sz w:val="18"/>
          <w:szCs w:val="18"/>
          <w:lang w:eastAsia="fr-FR"/>
        </w:rPr>
        <w:br/>
        <w:t>Il doit intervenir dans les trois mois de la connaissance de l'événement qui y donne lieu, ou de l'expiration du délai qui le permet.</w:t>
      </w:r>
    </w:p>
    <w:p w14:paraId="219BDF9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172-5</w:t>
      </w:r>
    </w:p>
    <w:p w14:paraId="73DCC2F8"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En notifiant le délaissement, l'assuré informe l'assureur de toutes les assurances qu'il a contractées ou dont il a connaissance.</w:t>
      </w:r>
    </w:p>
    <w:p w14:paraId="7730A99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172-6</w:t>
      </w:r>
    </w:p>
    <w:p w14:paraId="20E7E040"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délai de prescription des actions nées du contrat d'assurance court :</w:t>
      </w:r>
      <w:r w:rsidRPr="00467CCF">
        <w:rPr>
          <w:rFonts w:ascii="Times New Roman" w:eastAsia="Times New Roman" w:hAnsi="Times New Roman" w:cs="Times New Roman"/>
          <w:sz w:val="18"/>
          <w:szCs w:val="18"/>
          <w:lang w:eastAsia="fr-FR"/>
        </w:rPr>
        <w:br/>
        <w:t>1° En ce qui concerne l'action en paiement de la prime, de la date d'exigibilité ;</w:t>
      </w:r>
      <w:r w:rsidRPr="00467CCF">
        <w:rPr>
          <w:rFonts w:ascii="Times New Roman" w:eastAsia="Times New Roman" w:hAnsi="Times New Roman" w:cs="Times New Roman"/>
          <w:sz w:val="18"/>
          <w:szCs w:val="18"/>
          <w:lang w:eastAsia="fr-FR"/>
        </w:rPr>
        <w:br/>
        <w:t>2° En ce qui concerne l'action d'avarie, de la date de l'événement qui donne lieu à l'action ; pour la marchandise, de la date de l'arrivée du navire ou autre véhicule de transport, ou, à défaut, de la date à laquelle il aurait dû arriver ou, si l'événement est postérieur, de la date de cet événement ;</w:t>
      </w:r>
      <w:r w:rsidRPr="00467CCF">
        <w:rPr>
          <w:rFonts w:ascii="Times New Roman" w:eastAsia="Times New Roman" w:hAnsi="Times New Roman" w:cs="Times New Roman"/>
          <w:sz w:val="18"/>
          <w:szCs w:val="18"/>
          <w:lang w:eastAsia="fr-FR"/>
        </w:rPr>
        <w:br/>
        <w:t>3° Pour l'action en délaissement, de la date de l'événement qui y donne droit ou, si un délai est fixé pour donner ouverture à l'action, de la date d'expiration de ce délai ;</w:t>
      </w:r>
      <w:r w:rsidRPr="00467CCF">
        <w:rPr>
          <w:rFonts w:ascii="Times New Roman" w:eastAsia="Times New Roman" w:hAnsi="Times New Roman" w:cs="Times New Roman"/>
          <w:sz w:val="18"/>
          <w:szCs w:val="18"/>
          <w:lang w:eastAsia="fr-FR"/>
        </w:rPr>
        <w:br/>
        <w:t>4° Lorsque l'action de l'assuré a pour cause la contribution d'avarie commune, la rémunération d'assistance ou le recours d'un tiers, du jour de l'action en justice contre l'assuré ou du jour de paiement.</w:t>
      </w:r>
      <w:r w:rsidRPr="00467CCF">
        <w:rPr>
          <w:rFonts w:ascii="Times New Roman" w:eastAsia="Times New Roman" w:hAnsi="Times New Roman" w:cs="Times New Roman"/>
          <w:sz w:val="18"/>
          <w:szCs w:val="18"/>
          <w:lang w:eastAsia="fr-FR"/>
        </w:rPr>
        <w:br/>
        <w:t>Pour l'action en répétition de toute somme payée en vertu du contrat d'assurance, le délai court alors de la date du paiement indu.</w:t>
      </w:r>
    </w:p>
    <w:p w14:paraId="7A92C699" w14:textId="77777777" w:rsidR="00467CCF" w:rsidRP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III - Règles particulières aux diverses assurances maritimes</w:t>
      </w:r>
    </w:p>
    <w:p w14:paraId="6BD9C321" w14:textId="77777777" w:rsidR="00467CCF" w:rsidRPr="00467CCF" w:rsidRDefault="00467CCF" w:rsidP="00467CCF">
      <w:pPr>
        <w:spacing w:before="120"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1 - Assurances sur corps</w:t>
      </w:r>
    </w:p>
    <w:p w14:paraId="1C1FCA6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173-1</w:t>
      </w:r>
    </w:p>
    <w:p w14:paraId="0AA42C7B"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valeur agréée comprend indivisément le corps et les appareils moteurs du navire, ainsi que tous les accessoires et dépendances dont l'assuré est propriétaire et dans lesquels sont compris les approvisionnements et les mises dehors.</w:t>
      </w:r>
      <w:r w:rsidRPr="00467CCF">
        <w:rPr>
          <w:rFonts w:ascii="Times New Roman" w:eastAsia="Times New Roman" w:hAnsi="Times New Roman" w:cs="Times New Roman"/>
          <w:sz w:val="18"/>
          <w:szCs w:val="18"/>
          <w:lang w:eastAsia="fr-FR"/>
        </w:rPr>
        <w:br/>
        <w:t>Toute assurance, quelle que soit sa date, faite séparément sur des accessoires et dépendances appartenant à l'assuré, réduit d'autant, en cas de perte totale ou de délaissement, la valeur agréée.</w:t>
      </w:r>
    </w:p>
    <w:p w14:paraId="574B2F77"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2 - Assurances sur facultés</w:t>
      </w:r>
    </w:p>
    <w:p w14:paraId="7A68DEB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173-2</w:t>
      </w:r>
    </w:p>
    <w:p w14:paraId="24340CCF"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Quel que soit le risque couvert, l'assureur n'est pas garant :</w:t>
      </w:r>
      <w:r w:rsidRPr="00467CCF">
        <w:rPr>
          <w:rFonts w:ascii="Times New Roman" w:eastAsia="Times New Roman" w:hAnsi="Times New Roman" w:cs="Times New Roman"/>
          <w:sz w:val="18"/>
          <w:szCs w:val="18"/>
          <w:lang w:eastAsia="fr-FR"/>
        </w:rPr>
        <w:br/>
        <w:t>1° Des freintes de route ;</w:t>
      </w:r>
      <w:r w:rsidRPr="00467CCF">
        <w:rPr>
          <w:rFonts w:ascii="Times New Roman" w:eastAsia="Times New Roman" w:hAnsi="Times New Roman" w:cs="Times New Roman"/>
          <w:sz w:val="18"/>
          <w:szCs w:val="18"/>
          <w:lang w:eastAsia="fr-FR"/>
        </w:rPr>
        <w:br/>
        <w:t>2° Des dommages résultant de l'insuffisance des emballages de la marchandise.</w:t>
      </w:r>
    </w:p>
    <w:p w14:paraId="7BDC393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173-3</w:t>
      </w:r>
    </w:p>
    <w:p w14:paraId="4A8CC368"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valeur assurée ne peut excéder la plus élevée des sommes déterminées : soit par le prix d'achat ou, à défaut, par le prix courant aux temps et lieu de chargement augmenté de tous les frais jusqu'à destination et du profit espéré ; soit par la valeur à destination à la date d'arrivée ou, si les marchandises n'arrivent pas, à la date à laquelle elles auraient dû arriver ; soit si les marchandises ont été vendues par l'assuré, par le prix de vente augmenté s'il y a lieu des majorations stipulées au contrat de vente.</w:t>
      </w:r>
    </w:p>
    <w:p w14:paraId="15315C8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173-4</w:t>
      </w:r>
    </w:p>
    <w:p w14:paraId="21B66DAC"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lastRenderedPageBreak/>
        <w:t>L'importance des avaries est déterminée par comparaison de la valeur de la marchandise en état d'avarie à celle qu'elle aurait eue à l'état sain aux mêmes temps et lieu, le taux de dépréciation ainsi obtenu devant être appliqué à la valeur d'assurance.</w:t>
      </w:r>
    </w:p>
    <w:p w14:paraId="6E9A2AC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173-5</w:t>
      </w:r>
    </w:p>
    <w:p w14:paraId="2B684FEA"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Au cas où les parties sont convenues d'une franchise, celle-ci est toujours indépendante de la freinte normale de route.</w:t>
      </w:r>
    </w:p>
    <w:p w14:paraId="5BCE974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173-6</w:t>
      </w:r>
    </w:p>
    <w:p w14:paraId="1F8D6AE3"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Dans la police flottante, l'assuré s'oblige à déclarer à l'assureur et l’assureur s'oblige à accepter en aliment dans le cadre de la police :</w:t>
      </w:r>
      <w:r w:rsidRPr="00467CCF">
        <w:rPr>
          <w:rFonts w:ascii="Times New Roman" w:eastAsia="Times New Roman" w:hAnsi="Times New Roman" w:cs="Times New Roman"/>
          <w:sz w:val="18"/>
          <w:szCs w:val="18"/>
          <w:lang w:eastAsia="fr-FR"/>
        </w:rPr>
        <w:br/>
        <w:t>1° Toutes les expéditions faites pour le compte ou en exécution des contrats d'achat ou de vente mettant à sa charge l'obligation d'assurer ;</w:t>
      </w:r>
      <w:r w:rsidRPr="00467CCF">
        <w:rPr>
          <w:rFonts w:ascii="Times New Roman" w:eastAsia="Times New Roman" w:hAnsi="Times New Roman" w:cs="Times New Roman"/>
          <w:sz w:val="18"/>
          <w:szCs w:val="18"/>
          <w:lang w:eastAsia="fr-FR"/>
        </w:rPr>
        <w:br/>
        <w:t>2° Toutes les expéditions faites pour le compte de tiers qui auront laissé à l'assuré le soin de pourvoir à l'assurance, si l'assuré est intéressé à l'expédition comme commissionnaire, consignataire ou autrement. L'intérêt de l'assuré qui ne consisterait que dans l'exécution de l'ordre d'assurance confié par un tiers ne donne pas le droit à l'application de la police.</w:t>
      </w:r>
    </w:p>
    <w:p w14:paraId="0F4A4AE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173-7</w:t>
      </w:r>
    </w:p>
    <w:p w14:paraId="302746FF"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Ces expéditions sont couvertes, au premier cas mentionné à l'article R. 173-6, automatiquement à partir du moment où elles sont exposées aux risques garantis, à la condition que la déclaration d'aliment en soit faite à l'assureur dans les délais impartis au contrat, au second cas, à compter de la déclaration.</w:t>
      </w:r>
    </w:p>
    <w:p w14:paraId="6DDB7362"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3 - Assurance de responsabilité</w:t>
      </w:r>
    </w:p>
    <w:p w14:paraId="16E67323" w14:textId="72EF6785" w:rsidR="00DB3519" w:rsidRDefault="00467CCF" w:rsidP="00467CCF">
      <w:pPr>
        <w:spacing w:after="0" w:line="240" w:lineRule="auto"/>
        <w:rPr>
          <w:rFonts w:ascii="Times New Roman" w:eastAsia="Times New Roman" w:hAnsi="Times New Roman" w:cs="Times New Roman"/>
          <w:sz w:val="24"/>
          <w:szCs w:val="24"/>
          <w:lang w:eastAsia="fr-FR"/>
        </w:rPr>
      </w:pPr>
      <w:r w:rsidRPr="00467CCF">
        <w:rPr>
          <w:rFonts w:ascii="Times New Roman" w:eastAsia="Times New Roman" w:hAnsi="Times New Roman" w:cs="Times New Roman"/>
          <w:sz w:val="18"/>
          <w:szCs w:val="18"/>
          <w:lang w:eastAsia="fr-FR"/>
        </w:rPr>
        <w:t>Néant.</w:t>
      </w:r>
      <w:r w:rsidRPr="00467CCF">
        <w:rPr>
          <w:rFonts w:ascii="Times New Roman" w:eastAsia="Times New Roman" w:hAnsi="Times New Roman" w:cs="Times New Roman"/>
          <w:sz w:val="18"/>
          <w:szCs w:val="18"/>
          <w:lang w:eastAsia="fr-FR"/>
        </w:rPr>
        <w:br/>
      </w:r>
    </w:p>
    <w:p w14:paraId="65635CD0" w14:textId="77777777" w:rsidR="00DB3519" w:rsidRDefault="00DB3519">
      <w:pP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br w:type="page"/>
      </w:r>
    </w:p>
    <w:p w14:paraId="7801AA4E" w14:textId="77777777" w:rsidR="00467CCF" w:rsidRPr="00467CCF" w:rsidRDefault="00467CCF" w:rsidP="00467CCF">
      <w:pPr>
        <w:spacing w:after="0" w:line="240" w:lineRule="auto"/>
        <w:rPr>
          <w:rFonts w:ascii="Times New Roman" w:eastAsia="Times New Roman" w:hAnsi="Times New Roman" w:cs="Times New Roman"/>
          <w:sz w:val="24"/>
          <w:szCs w:val="24"/>
          <w:lang w:eastAsia="fr-FR"/>
        </w:rPr>
      </w:pPr>
    </w:p>
    <w:p w14:paraId="330760DC" w14:textId="614FDB21" w:rsidR="00DB3519" w:rsidRDefault="00DB3519" w:rsidP="00E1061D">
      <w:pPr>
        <w:spacing w:after="0"/>
        <w:jc w:val="center"/>
        <w:rPr>
          <w:rFonts w:ascii="Times New Roman" w:hAnsi="Times New Roman" w:cs="Times New Roman"/>
          <w:b/>
          <w:sz w:val="24"/>
          <w:szCs w:val="24"/>
        </w:rPr>
      </w:pPr>
      <w:r>
        <w:rPr>
          <w:rFonts w:ascii="Times New Roman" w:hAnsi="Times New Roman" w:cs="Times New Roman"/>
          <w:b/>
          <w:sz w:val="24"/>
          <w:szCs w:val="24"/>
        </w:rPr>
        <w:t>LIVRE III – LES ENTREPRISES</w:t>
      </w:r>
    </w:p>
    <w:p w14:paraId="4F965C40" w14:textId="30DB4360" w:rsidR="00DB3519" w:rsidRPr="00E1061D" w:rsidRDefault="00DB3519" w:rsidP="00E1061D">
      <w:pPr>
        <w:spacing w:after="120"/>
        <w:jc w:val="center"/>
        <w:rPr>
          <w:rFonts w:ascii="Times New Roman" w:hAnsi="Times New Roman" w:cs="Times New Roman"/>
          <w:sz w:val="24"/>
          <w:szCs w:val="24"/>
        </w:rPr>
      </w:pPr>
      <w:r w:rsidRPr="00E1061D">
        <w:rPr>
          <w:rFonts w:ascii="Times New Roman" w:hAnsi="Times New Roman" w:cs="Times New Roman"/>
          <w:sz w:val="24"/>
          <w:szCs w:val="24"/>
        </w:rPr>
        <w:t xml:space="preserve">(rédaction issue </w:t>
      </w:r>
      <w:r w:rsidR="00E1061D">
        <w:rPr>
          <w:rFonts w:ascii="Times New Roman" w:hAnsi="Times New Roman" w:cs="Times New Roman"/>
          <w:sz w:val="24"/>
          <w:szCs w:val="24"/>
        </w:rPr>
        <w:t xml:space="preserve">de </w:t>
      </w:r>
      <w:r w:rsidR="00E1061D" w:rsidRPr="00E1061D">
        <w:rPr>
          <w:rFonts w:ascii="Times New Roman" w:hAnsi="Times New Roman" w:cs="Times New Roman"/>
          <w:sz w:val="24"/>
          <w:szCs w:val="24"/>
        </w:rPr>
        <w:t>Délibération n° 2025-94 APF du 27 août 2025</w:t>
      </w:r>
      <w:r w:rsidR="00E1061D">
        <w:rPr>
          <w:rFonts w:ascii="Times New Roman" w:hAnsi="Times New Roman" w:cs="Times New Roman"/>
          <w:sz w:val="24"/>
          <w:szCs w:val="24"/>
        </w:rPr>
        <w:t>)</w:t>
      </w:r>
    </w:p>
    <w:p w14:paraId="3D1BB030" w14:textId="5926117A" w:rsidR="00DB3519" w:rsidRDefault="00DB3519" w:rsidP="00E1061D">
      <w:pPr>
        <w:spacing w:after="0"/>
        <w:jc w:val="center"/>
        <w:rPr>
          <w:rFonts w:ascii="Times New Roman" w:hAnsi="Times New Roman" w:cs="Times New Roman"/>
          <w:b/>
          <w:sz w:val="24"/>
          <w:szCs w:val="24"/>
        </w:rPr>
      </w:pPr>
      <w:r>
        <w:rPr>
          <w:rFonts w:ascii="Times New Roman" w:hAnsi="Times New Roman" w:cs="Times New Roman"/>
          <w:b/>
          <w:sz w:val="24"/>
          <w:szCs w:val="24"/>
        </w:rPr>
        <w:t>TITRE II : REGIME ADMINISTRATIF</w:t>
      </w:r>
    </w:p>
    <w:p w14:paraId="7A1F3B1F" w14:textId="1B2C0ED9" w:rsidR="00506C80" w:rsidRPr="00506C80" w:rsidRDefault="00E1061D"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6A42FA3A" w14:textId="6BAE2422" w:rsidR="00DB3519" w:rsidRDefault="00DB3519" w:rsidP="00506C80">
      <w:pPr>
        <w:spacing w:before="120" w:after="0"/>
        <w:jc w:val="center"/>
        <w:rPr>
          <w:rFonts w:ascii="Times New Roman" w:hAnsi="Times New Roman" w:cs="Times New Roman"/>
          <w:b/>
          <w:sz w:val="24"/>
          <w:szCs w:val="24"/>
        </w:rPr>
      </w:pPr>
      <w:r>
        <w:rPr>
          <w:rFonts w:ascii="Times New Roman" w:hAnsi="Times New Roman" w:cs="Times New Roman"/>
          <w:b/>
          <w:sz w:val="24"/>
          <w:szCs w:val="24"/>
        </w:rPr>
        <w:t>CHAPITRE I : AGREMENT DES ENTREPRISES D’ASSURANCE</w:t>
      </w:r>
    </w:p>
    <w:p w14:paraId="12AD2B95" w14:textId="37B11F36" w:rsidR="00E1061D" w:rsidRPr="00E1061D" w:rsidRDefault="00E1061D" w:rsidP="00E1061D">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26866647" w14:textId="3ED9E208"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321-1</w:t>
      </w:r>
      <w:r w:rsidR="00E1061D">
        <w:rPr>
          <w:rFonts w:ascii="Times New Roman" w:hAnsi="Times New Roman" w:cs="Times New Roman"/>
          <w:b/>
          <w:sz w:val="24"/>
          <w:szCs w:val="24"/>
        </w:rPr>
        <w:t xml:space="preserve"> </w:t>
      </w:r>
      <w:bookmarkStart w:id="0" w:name="_Hlk211589411"/>
      <w:r w:rsidR="00E1061D" w:rsidRPr="00E1061D">
        <w:rPr>
          <w:rFonts w:ascii="Times New Roman" w:hAnsi="Times New Roman" w:cs="Times New Roman"/>
          <w:sz w:val="24"/>
          <w:szCs w:val="24"/>
        </w:rPr>
        <w:t>(rédaction issue de Délibération n° 2025-94 APF du 27 août 2025)</w:t>
      </w:r>
    </w:p>
    <w:bookmarkEnd w:id="0"/>
    <w:p w14:paraId="0D0E7827" w14:textId="77777777" w:rsidR="00DB3519" w:rsidRDefault="00DB3519" w:rsidP="00DB3519">
      <w:pPr>
        <w:spacing w:after="0"/>
        <w:jc w:val="both"/>
        <w:rPr>
          <w:rFonts w:ascii="Times New Roman" w:hAnsi="Times New Roman" w:cs="Times New Roman"/>
          <w:sz w:val="24"/>
          <w:szCs w:val="24"/>
        </w:rPr>
      </w:pPr>
      <w:r>
        <w:rPr>
          <w:rFonts w:ascii="Times New Roman" w:hAnsi="Times New Roman" w:cs="Times New Roman"/>
          <w:sz w:val="24"/>
          <w:szCs w:val="24"/>
        </w:rPr>
        <w:t>L'agrément administratif prévu par l'article LP 321-1 est accordé par le Président de la Polynésie française. Pour l'octroi de cet agrément, les opérations d'assurance sont classées en branches de la manière suivante :</w:t>
      </w:r>
    </w:p>
    <w:p w14:paraId="7F243925"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1. Accidents (y compris les accidents de travail et les maladies professionnelles)</w:t>
      </w:r>
    </w:p>
    <w:p w14:paraId="2BB13D80"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2. Maladie</w:t>
      </w:r>
    </w:p>
    <w:p w14:paraId="4991111F"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3. Corps de véhicules terrestres (autres que ferroviaires) </w:t>
      </w:r>
    </w:p>
    <w:p w14:paraId="5D4A9FE3"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4. Corps de véhicules ferroviaires :</w:t>
      </w:r>
    </w:p>
    <w:p w14:paraId="12E4A833"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 dommage subi par les véhicules ferroviaires.</w:t>
      </w:r>
    </w:p>
    <w:p w14:paraId="6915731C"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5. Corps de véhicules aériens :</w:t>
      </w:r>
    </w:p>
    <w:p w14:paraId="76EDD70E"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 dommage subi par les véhicules aériens.</w:t>
      </w:r>
    </w:p>
    <w:p w14:paraId="1D6024C8"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6. Corps de véhicules maritimes, lacustres et fluviaux :</w:t>
      </w:r>
    </w:p>
    <w:p w14:paraId="0C6FC754"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 dommage subi par les véhicules, fluviaux, lacustres, maritimes.</w:t>
      </w:r>
    </w:p>
    <w:p w14:paraId="373E9D9C"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7. Marchandises transportées (y compris les marchandises, bagages et tous autres biens) :</w:t>
      </w:r>
    </w:p>
    <w:p w14:paraId="78313712"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 dommage subi par les marchandises transportées ou bagages, quel que soit le moyen de transport.</w:t>
      </w:r>
    </w:p>
    <w:p w14:paraId="131A9FBC"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8. Incendie et éléments naturels :</w:t>
      </w:r>
    </w:p>
    <w:p w14:paraId="7F6E9BE0"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 dommage subi par les biens (autres que les biens compris dans les branches 3, 4, 5, 6 et 7) lorsqu'il est causé par un incendie, une explosion, une tempête, des éléments naturels autres que la tempête, l’énergie nucléaire ou un affaissement de terrain.</w:t>
      </w:r>
    </w:p>
    <w:p w14:paraId="515EE380"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9. Autres dommages aux biens :</w:t>
      </w:r>
    </w:p>
    <w:p w14:paraId="404A7A8B"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 dommage subi par les biens (autres que les biens compris dans les branches 3, 4, 5, 6 et 7) lorsque ce dommage est causé par la grêle ou la gelée, ainsi que par tout événement, tel le vol, autre que ceux compris dans la branche 8.</w:t>
      </w:r>
    </w:p>
    <w:p w14:paraId="044C068F"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10. Responsabilité civile véhicules terrestres automoteurs :</w:t>
      </w:r>
    </w:p>
    <w:p w14:paraId="73A44A2D"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Toute responsabilité résultant de l'emploi de véhicules terrestres automoteurs (y compris la responsabilité du transporteur).</w:t>
      </w:r>
    </w:p>
    <w:p w14:paraId="00BEA354"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11. Responsabilité civile véhicules aériens :</w:t>
      </w:r>
    </w:p>
    <w:p w14:paraId="2C8C6E1C"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Toute responsabilité résultant de l'emploi de véhicules aériens (y compris la responsabilité du transporteur).</w:t>
      </w:r>
    </w:p>
    <w:p w14:paraId="2269028A"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12. Responsabilité civile véhicules maritimes, lacustres et fluviaux :</w:t>
      </w:r>
    </w:p>
    <w:p w14:paraId="3193295C"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Toute responsabilité résultant de l'emploi de véhicules fluviaux, lacustres et maritimes (y compris la responsabilité du transporteur).</w:t>
      </w:r>
    </w:p>
    <w:p w14:paraId="75A6799C"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13. Responsabilité civile générale :</w:t>
      </w:r>
    </w:p>
    <w:p w14:paraId="0E944D4C"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Toute responsabilité autre que celles mentionnées sous les numéros 10, 11 et 12.</w:t>
      </w:r>
    </w:p>
    <w:p w14:paraId="6A6622F7"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14. Crédit</w:t>
      </w:r>
    </w:p>
    <w:p w14:paraId="6B584D12"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15. Caution </w:t>
      </w:r>
    </w:p>
    <w:p w14:paraId="3591A898"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16. Pertes pécuniaires diverses </w:t>
      </w:r>
    </w:p>
    <w:p w14:paraId="2FFDAF34"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17. Protection juridique</w:t>
      </w:r>
    </w:p>
    <w:p w14:paraId="32372B84"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18. Assistance :</w:t>
      </w:r>
    </w:p>
    <w:p w14:paraId="098D47B0"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Assistance aux personnes en difficulté, notamment au cours de déplacements.</w:t>
      </w:r>
    </w:p>
    <w:p w14:paraId="0C03F186"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20. Vie-Décès :</w:t>
      </w:r>
    </w:p>
    <w:p w14:paraId="0E555934"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Toute opération comportant des engagements dont l'exécution dépend de la durée de la vie humaine autre que les activités visées aux branches 22 et 23.</w:t>
      </w:r>
    </w:p>
    <w:p w14:paraId="7B4BEA37"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21. Nuptialité-Natalité :</w:t>
      </w:r>
    </w:p>
    <w:p w14:paraId="2A654761"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Toute opération ayant pour objet le versement d'un capital en cas de mariage ou de naissance d'enfants.</w:t>
      </w:r>
    </w:p>
    <w:p w14:paraId="0A701069"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22. Assurances liées à des fonds d'investissement :</w:t>
      </w:r>
    </w:p>
    <w:p w14:paraId="08323A27"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     Toutes opérations comportant des engagements dont l'exécution dépend de la durée de la vie humaine et liées à un fonds d'investissement.</w:t>
      </w:r>
    </w:p>
    <w:p w14:paraId="09EDB1E1" w14:textId="77777777" w:rsidR="00DB3519" w:rsidRDefault="00DB3519" w:rsidP="00DB3519">
      <w:pPr>
        <w:spacing w:after="0"/>
        <w:rPr>
          <w:rFonts w:ascii="Times New Roman" w:hAnsi="Times New Roman" w:cs="Times New Roman"/>
          <w:sz w:val="24"/>
          <w:szCs w:val="24"/>
        </w:rPr>
      </w:pPr>
      <w:r>
        <w:rPr>
          <w:rFonts w:ascii="Times New Roman" w:hAnsi="Times New Roman" w:cs="Times New Roman"/>
          <w:sz w:val="24"/>
          <w:szCs w:val="24"/>
        </w:rPr>
        <w:t xml:space="preserve">23. Capitalisation : </w:t>
      </w:r>
    </w:p>
    <w:p w14:paraId="7ECDB1B1" w14:textId="77777777" w:rsidR="00DB3519" w:rsidRDefault="00DB3519" w:rsidP="00DB3519">
      <w:pPr>
        <w:spacing w:before="120" w:after="0"/>
        <w:rPr>
          <w:rFonts w:ascii="Times New Roman" w:hAnsi="Times New Roman" w:cs="Times New Roman"/>
          <w:sz w:val="24"/>
          <w:szCs w:val="24"/>
        </w:rPr>
      </w:pPr>
      <w:r>
        <w:rPr>
          <w:rFonts w:ascii="Times New Roman" w:hAnsi="Times New Roman" w:cs="Times New Roman"/>
          <w:sz w:val="24"/>
          <w:szCs w:val="24"/>
        </w:rPr>
        <w:t>Toute opération d'appel à l'épargne en vue de la capitalisation et comportant, en échange de versements uniques ou périodiques, directs ou indirects, des engagements déterminés quant à leur durée et à leur montant.</w:t>
      </w:r>
    </w:p>
    <w:p w14:paraId="3426D2E8" w14:textId="57544428"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321-2</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5075CEA5"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L'agrément administratif est donné par branche aux entreprises mentionnées à l’article LP 310- 2.</w:t>
      </w:r>
    </w:p>
    <w:p w14:paraId="52856AE7"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Président de la Polynésie française restreint l’agrément à une ou plusieurs opérations si cela est nécessaire au respect des conditions prévues à l’article LP 321-3.</w:t>
      </w:r>
    </w:p>
    <w:p w14:paraId="63630D63" w14:textId="51515186"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321-3</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6A05774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Toute entreprise obtenant </w:t>
      </w:r>
      <w:bookmarkStart w:id="1" w:name="_Hlk186196500"/>
      <w:r>
        <w:rPr>
          <w:rFonts w:ascii="Times New Roman" w:hAnsi="Times New Roman" w:cs="Times New Roman"/>
          <w:sz w:val="24"/>
          <w:szCs w:val="24"/>
        </w:rPr>
        <w:t>l'agrément administratif pour un risque principal appartenant à une branche mentionnée aux 1 à 18 de l'article DEL </w:t>
      </w:r>
      <w:bookmarkEnd w:id="1"/>
      <w:r>
        <w:rPr>
          <w:rFonts w:ascii="Times New Roman" w:hAnsi="Times New Roman" w:cs="Times New Roman"/>
          <w:sz w:val="24"/>
          <w:szCs w:val="24"/>
        </w:rPr>
        <w:t xml:space="preserve">321-1 peut également garantir des risques </w:t>
      </w:r>
      <w:bookmarkStart w:id="2" w:name="_Hlk186196625"/>
      <w:r>
        <w:rPr>
          <w:rFonts w:ascii="Times New Roman" w:hAnsi="Times New Roman" w:cs="Times New Roman"/>
          <w:sz w:val="24"/>
          <w:szCs w:val="24"/>
        </w:rPr>
        <w:t>compris dans une autre branche sans que l'agrément administratif soit exigé pour ces risques, lorsque ceux-ci sont liés au risque principal, concernent l'objet couvert contre le risque principal et sont garantis par le contrat qui couvre le risque principal.</w:t>
      </w:r>
    </w:p>
    <w:bookmarkEnd w:id="2"/>
    <w:p w14:paraId="6EBD3F8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Toutefois, les risques compris dans les branches mentionnées aux 14, 15 et 17 de l'article DEL 321-1 ne peuvent être considérés comme accessoires à d'autres branches.</w:t>
      </w:r>
    </w:p>
    <w:p w14:paraId="6D3BC18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Néanmoins, le risque compris dans la branche 17 peut être considéré comme accessoire à la branche 18 lorsque les conditions énoncées au premier alinéa sont remplies et que le risque principal ne concerne que l'assistance fournie aux personnes en difficulté au cours de déplacements, d'absences de leur domicile ou de leur résidence habituelle.</w:t>
      </w:r>
    </w:p>
    <w:p w14:paraId="287BAEE9"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Ce même risque peut également être considéré comme accessoire dans les mêmes conditions lorsqu'il concerne des litiges ou des risques qui résultent de l'utilisation de navires de mer ou qui sont en rapport avec cette utilisation.</w:t>
      </w:r>
    </w:p>
    <w:p w14:paraId="2BF1DEE9" w14:textId="5B915B92"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321-4</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7901684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Les entreprises agréées pour pratiquer les branches mentionnées aux 20 et 22 de l'article DEL 321-1 peuvent être autorisées à réaliser directement, à titre d'assurance accessoire faisant </w:t>
      </w:r>
      <w:r>
        <w:rPr>
          <w:rFonts w:ascii="Times New Roman" w:hAnsi="Times New Roman" w:cs="Times New Roman"/>
          <w:sz w:val="24"/>
          <w:szCs w:val="24"/>
        </w:rPr>
        <w:lastRenderedPageBreak/>
        <w:t>partie d'un contrat d'assurance sur la vie et moyennant paiement d'une prime ou cotisation distincte, des assurances complémentaires contre les risques d'atteintes corporelles incluant l'incapacité de travail professionnelle, de décès accidentel ou d'invalidité à la suite d'accident ou de maladie. Dans ce cas, le contrat doit préciser que ces garanties complémentaires prennent fin au plus tard en même temps que la garantie principale.</w:t>
      </w:r>
    </w:p>
    <w:p w14:paraId="460B8C78" w14:textId="03D811D6"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321-5</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4418B57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Chaque activité exercée par une entreprise d'assurance pratiquant à la fois les risques mentionnés au 1° et au 2° de l'article LP 310-1 fait l'objet d'une gestion distincte, organisée de telle sorte que l'activité d'assurance vie et l'activité d'assurance non-vie soient séparées.</w:t>
      </w:r>
    </w:p>
    <w:p w14:paraId="02F6FA0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Lorsqu'une entreprise d'assurance non-vie a des liens financiers, commerciaux ou administratifs avec une entreprise d'assurance vie, la Polynésie française veille à ce que les comptes des entreprises concernées ne soient pas faussés par des conventions passées entre ces entreprises ou par tout arrangement susceptible d'influencer la répartition des frais et des revenus.</w:t>
      </w:r>
    </w:p>
    <w:p w14:paraId="57E2261F" w14:textId="2CC95533"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321-6</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19DD55B9"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Pendant les trois exercices comptables suivant la délivrance de l’agrément mentionné à l’article LP 321-1, l'entreprise doit présenter au Président de la Polynésie française pour chaque semestre, un compte-rendu d'exécution du programme d'activités mentionné au deuxième alinéa de l’article LP 321-3. Toutefois, pour les entreprises dont le siège social est situé dans un Etat ou territoire figurant sur la liste prévue au cinquième alinéa de l’article LP 321 2</w:t>
      </w:r>
      <w:bookmarkStart w:id="3" w:name="_Hlk186198385"/>
      <w:r>
        <w:rPr>
          <w:rFonts w:ascii="Times New Roman" w:hAnsi="Times New Roman" w:cs="Times New Roman"/>
          <w:sz w:val="24"/>
          <w:szCs w:val="24"/>
        </w:rPr>
        <w:t>, ce compte rendu est établi à la demande du Président de la Polynésie française.</w:t>
      </w:r>
    </w:p>
    <w:bookmarkEnd w:id="3"/>
    <w:p w14:paraId="5B2E583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Si l'activité de l'entreprise n'est pas conforme au programme d'activités, la Polynésie française prend les mesures utiles en vue de la protection des intérêts des assurés. Sans préjudice de la mise en œuvre, le cas échéant, des mesures prévues aux sections II et III du chapitre II du titre II du présent livre, la Polynésie française peut faire application des dispositions de l'article LP 322-13.</w:t>
      </w:r>
    </w:p>
    <w:p w14:paraId="1BFC5203" w14:textId="7879CA6B"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321-7</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39E310D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Une entreprise dont tous les agréments ont fait l'objet de décisions constatant leur caducité en application de l'article LP 321-5 soumet à l'approbation du Président de la Polynésie française, dans un délai d’un mois à partir de la date de publication au Journal officiel de la Polynésie française de la dernière décision constatant la caducité de ses agréments, un programme de liquidation précisant notamment les délais prévisibles et les conditions financières de la liquidation, ainsi que les moyens en personnel et en matériels mis en œuvre pour la gestion des engagements résiduels.</w:t>
      </w:r>
    </w:p>
    <w:p w14:paraId="570AA49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Lorsque la gestion des engagements résiduels est déléguée à un tiers, le projet de contrat de délégation et un dossier décrivant la qualité du délégataire et de ses dirigeants, son organisation, sa situation financière et les moyens mis en œuvre sont communiqués au Président de la Polynésie française, qui peut réaliser tous contrôles sur pièces et sur place du délégataire, jusqu'à liquidation intégrale des engagements.</w:t>
      </w:r>
    </w:p>
    <w:p w14:paraId="4E59C299"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Si le Président de la Polynésie française estime que le programme de liquidation présenté par l'entreprise n'est pas conforme aux intérêts des assurés, il ne l'approuve pas et peut demander la présentation d'un nouveau programme, dans les délais et conditions qu'il prescrit.</w:t>
      </w:r>
    </w:p>
    <w:p w14:paraId="648B3DD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lastRenderedPageBreak/>
        <w:t>En l'absence de programme de liquidation, ou lorsque le programme présenté n'a pas été approuvé, ou lorsque l'entreprise ne respecte pas le programme approuvé, la Polynésie française prend toutes mesures prévues à la section II du chapitre II du titre II du présent livre qu'il juge nécessaires ; il peut également faire usage des pouvoirs de sanction prévus à la section III du chapitre II du titre II du présent livre.</w:t>
      </w:r>
    </w:p>
    <w:p w14:paraId="4CCFA41D" w14:textId="77777777" w:rsidR="00DB3519" w:rsidRDefault="00DB3519" w:rsidP="00DB3519">
      <w:pPr>
        <w:spacing w:before="120" w:after="0"/>
        <w:jc w:val="both"/>
        <w:rPr>
          <w:rFonts w:ascii="Times New Roman" w:hAnsi="Times New Roman" w:cs="Times New Roman"/>
          <w:sz w:val="24"/>
          <w:szCs w:val="24"/>
        </w:rPr>
      </w:pPr>
    </w:p>
    <w:p w14:paraId="54D7CBEB" w14:textId="73575E42"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t>CHAPITRE II : CONTROLE DES ENTREPRISES D’ASSURANCE</w:t>
      </w:r>
    </w:p>
    <w:p w14:paraId="79C7FFB0" w14:textId="172B2CC8" w:rsidR="00E1061D" w:rsidRPr="00506C80" w:rsidRDefault="00E1061D"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75B6D8F9" w14:textId="77777777"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t>Section I : Exercice du contrôle</w:t>
      </w:r>
    </w:p>
    <w:p w14:paraId="02AECA29" w14:textId="3836536C" w:rsidR="00DB3519" w:rsidRPr="00506C80" w:rsidRDefault="00E1061D"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068E4A8F" w14:textId="3E65A702"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322-1</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1BCF0441"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personnes contrôlées doivent mettre à la disposition des personnes en charge des contrôles dans les services du siège ou, à la demande des personnes en charge des contrôles, dans les agences tous les documents nécessaires aux opérations de contrôle, ainsi que le personnel qualifié pour leur fournir les renseignements qu'ils jugent nécessaires.</w:t>
      </w:r>
    </w:p>
    <w:p w14:paraId="6FE2F3D7" w14:textId="6ACD271D"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322-2</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70B15F9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Dans les cas prévus à l’article LP 322-3, le Président de la Polynésie française dispose d'un délai de deux mois pour s'opposer aux nominations ou renouvellements. Ce délai court à compter de la date de réception du dossier complet de notification.</w:t>
      </w:r>
    </w:p>
    <w:p w14:paraId="5FAC722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Lorsque le Président de la Polynésie française envisage de s'opposer à la nomination ou au renouvellement, le service administratif compétent notifie les éléments justifiant cette opposition à l'entreprise et à la personne physique concernées par lettre recommandée avec accusé de réception ou remise contre récépissé et les invite à présenter leurs observations écrites dans un délai d'un mois. Le délai de deux mois mentionné à l’alinéa précédent est alors suspendu jusqu'à réception des observations précédemment mentionnées et, au plus tard, jusqu'à l'expiration du délai de réponse.</w:t>
      </w:r>
    </w:p>
    <w:p w14:paraId="75A51836" w14:textId="6F6F246B"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322-3</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599ED716"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I. Lorsque le Président de la Polynésie française décide d'assortir une injonction du prononcé d'une astreinte, en application de l'article LP 322-5, il le fait par la même décision. </w:t>
      </w:r>
    </w:p>
    <w:p w14:paraId="3DAE506B" w14:textId="77777777" w:rsidR="00DB3519" w:rsidRDefault="00DB3519" w:rsidP="00DB3519">
      <w:pPr>
        <w:spacing w:before="120" w:after="0"/>
        <w:jc w:val="both"/>
        <w:rPr>
          <w:rFonts w:ascii="Times New Roman" w:hAnsi="Times New Roman" w:cs="Times New Roman"/>
          <w:sz w:val="24"/>
          <w:szCs w:val="24"/>
        </w:rPr>
      </w:pPr>
      <w:bookmarkStart w:id="4" w:name="_Hlk186200364"/>
      <w:r>
        <w:rPr>
          <w:rFonts w:ascii="Times New Roman" w:hAnsi="Times New Roman" w:cs="Times New Roman"/>
          <w:sz w:val="24"/>
          <w:szCs w:val="24"/>
        </w:rPr>
        <w:t>Le montant journalier de l'astreinte prévue à l’article LP 322-5 ne peut dépasser 1 789 000 F CFP.</w:t>
      </w:r>
    </w:p>
    <w:bookmarkEnd w:id="4"/>
    <w:p w14:paraId="634FE226"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II. Cette décision est notifiée à la personne concernée par lettre recommandée avec demande d'avis de réception, remise en main propre contre récépissé ou acte d'huissier ou par tout autre moyen permettant de s'assurer de la date de sa réception.</w:t>
      </w:r>
    </w:p>
    <w:p w14:paraId="0AA3BE60" w14:textId="77777777" w:rsidR="00DB3519" w:rsidRDefault="00DB3519" w:rsidP="00DB3519">
      <w:pPr>
        <w:spacing w:before="120" w:after="0"/>
        <w:jc w:val="both"/>
        <w:rPr>
          <w:rFonts w:ascii="Times New Roman" w:hAnsi="Times New Roman" w:cs="Times New Roman"/>
          <w:b/>
          <w:sz w:val="24"/>
          <w:szCs w:val="24"/>
        </w:rPr>
      </w:pPr>
      <w:r>
        <w:rPr>
          <w:rFonts w:ascii="Times New Roman" w:hAnsi="Times New Roman" w:cs="Times New Roman"/>
          <w:sz w:val="24"/>
          <w:szCs w:val="24"/>
        </w:rPr>
        <w:t xml:space="preserve">III. En cas d'inexécution totale ou partielle ou d'exécution tardive, le Président de la Polynésie française procède à la liquidation de l'astreinte qu'il avait prononcée. Le montant de l'astreinte est liquidé en tenant compte du comportement de la personne concernée et des difficultés d'exécution qu'elle a rencontrées. L'astreinte n'est pas liquidée ou n'est liquidée qu'en partie s'il </w:t>
      </w:r>
      <w:r>
        <w:rPr>
          <w:rFonts w:ascii="Times New Roman" w:hAnsi="Times New Roman" w:cs="Times New Roman"/>
          <w:sz w:val="24"/>
          <w:szCs w:val="24"/>
        </w:rPr>
        <w:lastRenderedPageBreak/>
        <w:t>est établi que l'inexécution ou le retard dans l'exécution provient, en tout ou partie, d'une cause étrangère.</w:t>
      </w:r>
    </w:p>
    <w:p w14:paraId="46CB11F0" w14:textId="77777777"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t>Section II : Mesures de police administrative</w:t>
      </w:r>
    </w:p>
    <w:p w14:paraId="777BEC57" w14:textId="290BD335"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 xml:space="preserve">Article DEL 322-4 </w:t>
      </w:r>
      <w:r w:rsidR="00E1061D" w:rsidRPr="00E1061D">
        <w:rPr>
          <w:rFonts w:ascii="Times New Roman" w:hAnsi="Times New Roman" w:cs="Times New Roman"/>
          <w:sz w:val="24"/>
          <w:szCs w:val="24"/>
        </w:rPr>
        <w:t>(rédaction issue de Délibération n° 2025-94 APF du 27 août 2025)</w:t>
      </w:r>
    </w:p>
    <w:p w14:paraId="6826C2B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 Lorsque le Président de la Polynésie française envisage de prendre l'une des mesures prévues aux articles LP 322-9 à LP 322-11, il porte à la connaissance de la personne en cause les mesures envisagées et les motifs qui lui paraissent susceptibles de justifier de telles mesures.</w:t>
      </w:r>
    </w:p>
    <w:p w14:paraId="32098D5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 Lorsque le Président de la Polynésie française estime qu'il y a lieu de prendre l'une des mesures prévues aux articles LP 322-9 à LP 322-11, la personne en cause est informée du délai, qui ne peut être inférieur à cinq jours ouvrés à compter de sa réception, dont elle dispose pour faire connaître par écrit ses observations. Avant de statuer, le Président de la Polynésie française prend connaissance des observations formulées, le cas échéant, par la personne concernée.</w:t>
      </w:r>
    </w:p>
    <w:p w14:paraId="337F79A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3° Lorsque le Président de la Polynésie française estime qu'il y a lieu de prendre l'une des mesures prévues aux articles LP 322-10 et LP 322-11, le représentant légal de la personne concernée est convoqué pour être entendu.</w:t>
      </w:r>
    </w:p>
    <w:p w14:paraId="3C69CC1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La convocation doit lui parvenir cinq jours ouvrés au moins avant la date de l’audition. Elle précise le délai, qui ne peut être inférieur à cinq jours ouvrés, dont dispose le représentant légal de la personne concernée pour adresser ses observations au Président de la Polynésie française. Elle indique que la personne concernée peut se faire assister ou représenter par les personnes de son choix.</w:t>
      </w:r>
    </w:p>
    <w:p w14:paraId="41C837F9"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4° Si, compte tenu de l'urgence, le Président de la Polynésie française s'est prononcé sans procédure contradictoire, il engage sans délai la procédure contradictoire décrite au 3°. Il statue de façon définitive dans un délai de trois mois.</w:t>
      </w:r>
    </w:p>
    <w:p w14:paraId="39181137" w14:textId="57E2BA60"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322-5</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6B5948F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Lorsque le Président de la Polynésie française suspend, restreint ou interdit temporairement la libre disposition de tout ou partie des actifs d'une personne soumise à son contrôle, en application </w:t>
      </w:r>
      <w:bookmarkStart w:id="5" w:name="_Hlk186202025"/>
      <w:r>
        <w:rPr>
          <w:rFonts w:ascii="Times New Roman" w:hAnsi="Times New Roman" w:cs="Times New Roman"/>
          <w:sz w:val="24"/>
          <w:szCs w:val="24"/>
        </w:rPr>
        <w:t>du 3° de l'article LP 322-10</w:t>
      </w:r>
      <w:bookmarkEnd w:id="5"/>
      <w:r>
        <w:rPr>
          <w:rFonts w:ascii="Times New Roman" w:hAnsi="Times New Roman" w:cs="Times New Roman"/>
          <w:sz w:val="24"/>
          <w:szCs w:val="24"/>
        </w:rPr>
        <w:t>, il peut prescrire, à toute société ou collectivité émettrice ou dépositaire de refuser l'exécution de toute opération portant sur des comptes ou des titres appartenant à la personne en cause, ainsi que le paiement des intérêts et dividendes afférents auxdits titres, ou subordonner l'exécution de ces opérations au visa préalable d'un contrôleur.</w:t>
      </w:r>
    </w:p>
    <w:p w14:paraId="5B5016D9" w14:textId="6D085BE1"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322-6</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2A895FD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En cas de retrait d'agrément d'une entreprise mentionnée au 2 ° ou au 3° de l’article LP 310-2 par l'autorité de contrôle de son siège social, le Président de la Polynésie française procède au retrait de l'agrément précédemment accordé à l’entreprise.</w:t>
      </w:r>
    </w:p>
    <w:p w14:paraId="589E6B79" w14:textId="7F133B22" w:rsidR="00DB3519" w:rsidRDefault="00BF0CCD" w:rsidP="00BF0CCD">
      <w:pPr>
        <w:rPr>
          <w:rFonts w:ascii="Times New Roman" w:hAnsi="Times New Roman" w:cs="Times New Roman"/>
          <w:sz w:val="24"/>
          <w:szCs w:val="24"/>
        </w:rPr>
      </w:pPr>
      <w:r>
        <w:rPr>
          <w:rFonts w:ascii="Times New Roman" w:hAnsi="Times New Roman" w:cs="Times New Roman"/>
          <w:sz w:val="24"/>
          <w:szCs w:val="24"/>
        </w:rPr>
        <w:br w:type="page"/>
      </w:r>
    </w:p>
    <w:p w14:paraId="508DE56F" w14:textId="74B9BBA0" w:rsidR="00DB3519" w:rsidRDefault="00DB3519" w:rsidP="00E1061D">
      <w:pPr>
        <w:spacing w:after="0"/>
        <w:jc w:val="center"/>
        <w:rPr>
          <w:rFonts w:ascii="Times New Roman" w:hAnsi="Times New Roman" w:cs="Times New Roman"/>
          <w:b/>
          <w:sz w:val="24"/>
          <w:szCs w:val="24"/>
        </w:rPr>
      </w:pPr>
      <w:bookmarkStart w:id="6" w:name="_Hlk193786758"/>
      <w:r>
        <w:rPr>
          <w:rFonts w:ascii="Times New Roman" w:hAnsi="Times New Roman" w:cs="Times New Roman"/>
          <w:b/>
          <w:sz w:val="24"/>
          <w:szCs w:val="24"/>
        </w:rPr>
        <w:lastRenderedPageBreak/>
        <w:t>CHAPITRE III : REGLES PRUDENTIELLES APPLICABLES AUX ENTREPRISES D’ASSURANCE</w:t>
      </w:r>
    </w:p>
    <w:p w14:paraId="133AF774" w14:textId="77777777" w:rsidR="00E1061D" w:rsidRPr="00E1061D" w:rsidRDefault="00E1061D" w:rsidP="00E1061D">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145FD0C1" w14:textId="77777777" w:rsidR="00E1061D" w:rsidRDefault="00E1061D" w:rsidP="00DB3519">
      <w:pPr>
        <w:jc w:val="center"/>
        <w:rPr>
          <w:rFonts w:ascii="Times New Roman" w:hAnsi="Times New Roman" w:cs="Times New Roman"/>
          <w:b/>
          <w:sz w:val="24"/>
          <w:szCs w:val="24"/>
        </w:rPr>
      </w:pPr>
    </w:p>
    <w:bookmarkEnd w:id="6"/>
    <w:p w14:paraId="6EA7C36A" w14:textId="5833C5D3"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t>Section I : Principe généraux</w:t>
      </w:r>
    </w:p>
    <w:p w14:paraId="553921B1" w14:textId="4F422946" w:rsidR="00E1061D" w:rsidRPr="00506C80" w:rsidRDefault="00E1061D"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3500AF85" w14:textId="42667CC0"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765A5E7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 présent chapitre est applicable aux entreprises mentionnées au 1° de l’article LP 310-2 et aux entreprises mentionnées au 2° du même article relevant d’un Etat ou territoire ne figurant pas sur la liste prévue à l’article LP 321-2. </w:t>
      </w:r>
      <w:bookmarkStart w:id="7" w:name="_Hlk186203253"/>
      <w:r>
        <w:rPr>
          <w:rFonts w:ascii="Times New Roman" w:hAnsi="Times New Roman" w:cs="Times New Roman"/>
          <w:sz w:val="24"/>
          <w:szCs w:val="24"/>
        </w:rPr>
        <w:t>Dans ce second cas, les règles s’appliquent aux seules opérations réalisées par la succursale et les obligations auxquelles sont soumis le conseil d’administration ou le directeur général s’appliquent au mandataire général.</w:t>
      </w:r>
    </w:p>
    <w:bookmarkEnd w:id="7"/>
    <w:p w14:paraId="03E65984" w14:textId="6FDFD8D5"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323-2</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3704DA9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Relèvent du régime prudentiel de base les entreprises mentionnées à l’article DEL 323-1 qui remplissent les conditions suivantes :</w:t>
      </w:r>
    </w:p>
    <w:p w14:paraId="5043CC0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 L'encaissement annuel de primes ou cotisations brutes émises par l'entreprise est inférieur à 600 000 000 F CFP pendant au moins un des trois derniers exercices annuels ;</w:t>
      </w:r>
    </w:p>
    <w:p w14:paraId="53F7AA5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 Le total des provisions techniques de l'entreprise, telles que définies au chapitre IV du présent titre, brutes de cessions en réassurance ou à des véhicules de titrisation, est inférieur à 3 000 000 000 F CFP pendant au moins un des trois derniers exercices annuels ;</w:t>
      </w:r>
    </w:p>
    <w:p w14:paraId="5F4FD95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3° L'activité de l'entreprise comporte des opérations de réassurance qui, pendant au moins un des trois derniers exercices annuels :</w:t>
      </w:r>
    </w:p>
    <w:p w14:paraId="155124B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ne dépassent pas 60</w:t>
      </w:r>
      <w:r>
        <w:rPr>
          <w:rFonts w:ascii="Times New Roman" w:hAnsi="Times New Roman" w:cs="Times New Roman"/>
          <w:sz w:val="28"/>
          <w:szCs w:val="24"/>
        </w:rPr>
        <w:t> </w:t>
      </w:r>
      <w:r>
        <w:rPr>
          <w:rFonts w:ascii="Times New Roman" w:hAnsi="Times New Roman" w:cs="Times New Roman"/>
          <w:sz w:val="24"/>
          <w:szCs w:val="24"/>
        </w:rPr>
        <w:t>000 000 F CFP d'encaissement de primes ou de cotisations brutes émises ou 300 000 000 F CFP de provisions techniques, telles que définies au chapitre IV du présent titre, brutes de cessions en réassurance ou à des véhicules de titrisation ;</w:t>
      </w:r>
    </w:p>
    <w:p w14:paraId="64F93E1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et représentent moins de 10 % de son encaissement de primes ou cotisations brutes émises ou de ses provisions techniques, telles que définies au chapitre IV du présent titre, brutes de cessions en réassurance ou à des véhicules de titrisation ;</w:t>
      </w:r>
    </w:p>
    <w:p w14:paraId="48D0D7F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4° L’entreprise n’est pas agréée pour les branches 10 à 15 mentionnées à l'article DEL</w:t>
      </w:r>
      <w:r>
        <w:t> </w:t>
      </w:r>
      <w:r>
        <w:rPr>
          <w:rFonts w:ascii="Times New Roman" w:hAnsi="Times New Roman" w:cs="Times New Roman"/>
          <w:sz w:val="24"/>
          <w:szCs w:val="24"/>
        </w:rPr>
        <w:t>321-1 ;</w:t>
      </w:r>
    </w:p>
    <w:p w14:paraId="0EFB15F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5° L’entreprise sollicite un agrément mentionné à l'article LP 321-1 en vue d'exercer des activités d'assurance dont l'encaissement annuel des primes ou cotisations brutes émises ou le montant brut des provisions techniques, telles que définies au chapitre IV du présent titre, brutes de cessions en réassurance ou à des véhicules de titrisation, ne dépasseront pas, selon les prévisions, un des montants énoncés aux 1° à 3° au cours des cinq exercices annuels suivants.</w:t>
      </w:r>
    </w:p>
    <w:p w14:paraId="5186BE1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6° L'entreprise n’appartient pas à un groupe soumis au contrôle d’une autorité de contrôle partenaire.</w:t>
      </w:r>
    </w:p>
    <w:p w14:paraId="39380B0B" w14:textId="65A92738"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 xml:space="preserve">Article DEL 323-3 </w:t>
      </w:r>
      <w:r w:rsidR="00E1061D" w:rsidRPr="00E1061D">
        <w:rPr>
          <w:rFonts w:ascii="Times New Roman" w:hAnsi="Times New Roman" w:cs="Times New Roman"/>
          <w:sz w:val="24"/>
          <w:szCs w:val="24"/>
        </w:rPr>
        <w:t>(rédaction issue de Délibération n° 2025-94 APF du 27 août 2025)</w:t>
      </w:r>
    </w:p>
    <w:p w14:paraId="0C17CACE" w14:textId="34A23E70"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lastRenderedPageBreak/>
        <w:t>Relèvent du régime prudentiel renforcé, les entreprises mentionnées à l’article DEL 323-1 qui ne relèvent pas du régime prudentiel de base.</w:t>
      </w:r>
    </w:p>
    <w:p w14:paraId="07CBFAD6" w14:textId="0C97DFB8"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323-4</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3762877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entreprises relevant du régime prudentiel de base sont soumises aux dispositions de la section II du présent chapitre.</w:t>
      </w:r>
    </w:p>
    <w:p w14:paraId="59F46C2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entreprises relevant du régime prudentiel renforcé sont soumises aux dispositions de la section III du présent chapitre.</w:t>
      </w:r>
    </w:p>
    <w:p w14:paraId="7FCC251C" w14:textId="1FD08FF3"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règles prudentielles sont précisées en tant que de besoin par arrêté pris en conseil des ministres.</w:t>
      </w:r>
    </w:p>
    <w:p w14:paraId="55B89FED" w14:textId="396E4CD8"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t>Section II : Régime prudentiel de base</w:t>
      </w:r>
    </w:p>
    <w:p w14:paraId="5786BA62" w14:textId="1F2F15DA" w:rsidR="00E1061D" w:rsidRPr="00BF0CCD" w:rsidRDefault="00E1061D" w:rsidP="00BF0CCD">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26DC3193" w14:textId="78D05685"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t>Sous-section I –Représentation des engagements réglementés</w:t>
      </w:r>
    </w:p>
    <w:p w14:paraId="6B9426E6" w14:textId="51C95A83" w:rsidR="00E1061D" w:rsidRPr="00506C80" w:rsidRDefault="00E1061D"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68668C26" w14:textId="037ED762"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323-5</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411B6D0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engagements réglementés mentionnés à l'article DEL 334-11 doivent, à toute époque, être représentés par des actifs équivalents répondant aux conditions fixées par la présente sous- section.</w:t>
      </w:r>
    </w:p>
    <w:p w14:paraId="5432ED4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Ces actifs doivent être localisés en Polynésie française.</w:t>
      </w:r>
    </w:p>
    <w:p w14:paraId="40C6868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engagements pris dans une monnaie doivent être couverts par des actifs congruents, c'est-à-dire libellés ou réalisables dans cette monnaie. Toutefois, les entreprises peuvent, à concurrence de 20 % de leurs engagements, ne pas couvrir ceux-ci par des actifs congruents.</w:t>
      </w:r>
    </w:p>
    <w:p w14:paraId="1B24B86D" w14:textId="49B9A5D8"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323-6</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6AC3E1F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En application des dispositions de l'article DEL 323-5 et sous réserve des dérogations prévues à la présente section, les entreprises mentionnées à l'article DEL 323-2 représentent leurs engagements réglementés par les actifs suivants :</w:t>
      </w:r>
    </w:p>
    <w:p w14:paraId="77C0E605"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 Valeurs mobilières et titres assimilés :</w:t>
      </w:r>
    </w:p>
    <w:p w14:paraId="3E45427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 Obligations et autres valeurs émises ou garanties par l'un des Etats membres de l'Organisation de coopération et de développement économique (OCDE) ainsi que les titres émis par la caisse d'amortissement de la dette sociale instituée par l'article 1er de l'ordonnance n° 96-50 du 24 janvier 1996 ; obligations émises ou garanties par un organisme international à caractère public dont un ou plusieurs Etats membres de l’Union européenne font partie ; obligations émises ou garanties par les collectivités publiques territoriales d'un Etat membre de l'OCDE ;</w:t>
      </w:r>
    </w:p>
    <w:p w14:paraId="02143B7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 Les valeurs et titres assimilés, autres que celles et ceux mentionnés au 1° et négociés sur un marché reconnu, qui suivent :</w:t>
      </w:r>
    </w:p>
    <w:p w14:paraId="5D3AAC8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Obligations émises par une société commerciale ;</w:t>
      </w:r>
    </w:p>
    <w:p w14:paraId="2EF8D45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 xml:space="preserve">Obligations, parts ou actions émises par un organisme de financement régi par la sous- section 5 de la section 2 du chapitre IV du titre Ier du livre II du code monétaire et financier tel </w:t>
      </w:r>
      <w:r>
        <w:rPr>
          <w:rFonts w:ascii="Times New Roman" w:hAnsi="Times New Roman" w:cs="Times New Roman"/>
          <w:sz w:val="24"/>
          <w:szCs w:val="24"/>
        </w:rPr>
        <w:lastRenderedPageBreak/>
        <w:t>qu’applicable en Polynésie française ou par un organisme de droit étranger ayant un objet équivalent ;</w:t>
      </w:r>
    </w:p>
    <w:p w14:paraId="1AF7DC2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Titres participatifs ;</w:t>
      </w:r>
    </w:p>
    <w:p w14:paraId="31C5EBB5"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3° Titres négociables à court terme rémunérés à taux fixe ou indexé sur un taux usuel sur les marchés interbancaire, monétaire ou obligataire et émis par des personnes morales autres que les Etats membres de l'OCDE ayant leur siège social sur le territoire de ces Etats ou des organismes de financement régis par la sous-section 5 de la section 2 du chapitre IV du titre Ier du livre II du code monétaire et financier tel qu’applicable en Polynésie française, dont des titres sont négociés sur un marché reconnu ;</w:t>
      </w:r>
    </w:p>
    <w:p w14:paraId="10F05E4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4° Titres négociables à moyen terme répondant à des conditions fixées par arrêté pris en conseil des ministres de la Polynésie française et émis par des personnes morales autres que les Etats membres de l'OCDE ayant leur siège social sur le territoire de ces Etats et dont des titres sont négociés sur un marché reconnu ;</w:t>
      </w:r>
    </w:p>
    <w:p w14:paraId="705E070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5° Obligations, parts ou actions émises par un organisme de financement régi par la sous- section 5 de la section 2 du chapitre IV du titre Ier du livre II du code monétaire et financier tel qu’applicable en Polynésie française, respectant les règles prévues par arrêté pris en conseil des ministres ;</w:t>
      </w:r>
    </w:p>
    <w:p w14:paraId="6241C3E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6° Actions des sociétés d'investissement à capital variable et parts de fonds communs de placement relevant de la section 1 ou du paragraphe 1 de la sous-section 1 de la section 2 du chapitre IV du titre Ier du livre II du code monétaire et financier tel qu’applicable en Polynésie française, et dont l'objet est limité à la gestion d'un portefeuille de valeurs mentionnées aux 1°, 2°, 3° et 4° du présent article,</w:t>
      </w:r>
    </w:p>
    <w:p w14:paraId="1005860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7° Actions et autres valeurs mobilières, négociées sur un marché reconnu, autres que celles visées aux 6°, 8°, 9°, 16° et 18° ;</w:t>
      </w:r>
    </w:p>
    <w:p w14:paraId="3EF49AB5"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8° Actions des entreprises d'assurance, de réassurance, de capitalisation ayant leur siège social sur le territoire de l'un des Etats membres de l'OCDE ;</w:t>
      </w:r>
    </w:p>
    <w:p w14:paraId="48DFE081"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9° Actions des entreprises d'assurance, de réassurance, de capitalisation autres que celles visées au 5° ;</w:t>
      </w:r>
    </w:p>
    <w:p w14:paraId="4FB48B0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10° Les valeurs et titres assimilés autres que les valeurs mentionnées aux 2°, 3°, 4°, 5°, 6°, 7°, 8°, 9°, 12°, 16°, 18° et 26° qui suivent :</w:t>
      </w:r>
    </w:p>
    <w:p w14:paraId="5C468766"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Titres de créances négociables, obligations, actions, parts et droits émis par des sociétés commerciales ;</w:t>
      </w:r>
    </w:p>
    <w:p w14:paraId="18C5379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Titres de créances négociables, obligations, parts ou actions émises par un organisme de financement régi par la sous-section 5 de la section 2 du chapitre IV du titre Ier du livre II du code monétaire et financier tel qu’applicable en Polynésie française ;</w:t>
      </w:r>
    </w:p>
    <w:p w14:paraId="60F14B2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11° Parts des fonds communs de placement à risques de l’article L. 214-28 du code monétaire et financier tel qu’applicable en Polynésie française, parts des fonds communs de placement dans l’innovation de l’article L 214-30 du même code et parts des fonds d’investissement de proximité de l’article L 214-31 du même code ; </w:t>
      </w:r>
    </w:p>
    <w:p w14:paraId="23DE029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12° Actions des sociétés d'investissement à capital variable et parts de fonds communs de placement des articles L. 214-160 et L. 214-161 du code monétaire et financier tel qu’applicable </w:t>
      </w:r>
      <w:r>
        <w:rPr>
          <w:rFonts w:ascii="Times New Roman" w:hAnsi="Times New Roman" w:cs="Times New Roman"/>
          <w:sz w:val="24"/>
          <w:szCs w:val="24"/>
        </w:rPr>
        <w:lastRenderedPageBreak/>
        <w:t xml:space="preserve">en Polynésie française, actions ou parts de placements collectifs relevant de l'article L. 214-154 du code monétaire et financier </w:t>
      </w:r>
      <w:r w:rsidRPr="00ED337E">
        <w:rPr>
          <w:rFonts w:ascii="Times New Roman" w:hAnsi="Times New Roman" w:cs="Times New Roman"/>
          <w:sz w:val="24"/>
          <w:szCs w:val="24"/>
        </w:rPr>
        <w:t xml:space="preserve">tel qu’applicable en Polynésie française </w:t>
      </w:r>
      <w:r>
        <w:rPr>
          <w:rFonts w:ascii="Times New Roman" w:hAnsi="Times New Roman" w:cs="Times New Roman"/>
          <w:sz w:val="24"/>
          <w:szCs w:val="24"/>
        </w:rPr>
        <w:t xml:space="preserve">autres que celles mentionnées au 15°, actions ou parts d'organismes de placement collectif en valeurs mobilières relevant de l'article L. 214-35 du code monétaire et financier </w:t>
      </w:r>
      <w:r w:rsidRPr="00ED337E">
        <w:rPr>
          <w:rFonts w:ascii="Times New Roman" w:hAnsi="Times New Roman" w:cs="Times New Roman"/>
          <w:sz w:val="24"/>
          <w:szCs w:val="24"/>
        </w:rPr>
        <w:t xml:space="preserve">tel qu’applicable en Polynésie française </w:t>
      </w:r>
      <w:r>
        <w:rPr>
          <w:rFonts w:ascii="Times New Roman" w:hAnsi="Times New Roman" w:cs="Times New Roman"/>
          <w:sz w:val="24"/>
          <w:szCs w:val="24"/>
        </w:rPr>
        <w:t>dans sa rédaction antérieure au 2 août 2003 ;</w:t>
      </w:r>
    </w:p>
    <w:p w14:paraId="1715733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13° Parts ou actions de fonds professionnels à vocation générale mentionnés à l'article R. 214- 190 du code monétaire et financier tel qu’applicable en Polynésie française ;</w:t>
      </w:r>
    </w:p>
    <w:p w14:paraId="2CF2704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14° Parts ou actions de fonds alternatifs mentionnés à l'article R. 214-186 du code monétaire et financier tel qu’applicable en Polynésie française et des placements collectifs mentionnés au III de l'article L. 214-24 du même code ;</w:t>
      </w:r>
    </w:p>
    <w:p w14:paraId="6BC954F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15° Parts ou actions des fonds professionnels spécialisés mentionnés à l'article L. 214-154 du code monétaire et financier tel qu’applicable en Polynésie française, respectant des règles fixées par arrêté pris en conseil des ministres, à l'exception du septième alinéa du II de cet article ;</w:t>
      </w:r>
    </w:p>
    <w:p w14:paraId="25CC6789"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16° Actions des sociétés d'investissement à capital variable et parts des fonds communs de placement, relevant de la section 1 ou du paragraphe 1 de la sous-section 1 de la section 2 du chapitre IV du titre Ier du livre II du code monétaire et financier tel qu’applicable en Polynésie française autres que ceux mentionnées aux 6° et 11° à 15° ;</w:t>
      </w:r>
    </w:p>
    <w:p w14:paraId="2DACBF6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marchés reconnus mentionnés aux 2°, 3°, 4° et 7° du présent article sont les marchés réglementés des Etats parties à l'accord sur l'Espace économique européen ou les marchés de pays tiers membres de l'OCDE en fonctionnement régulier. Les autorités compétentes de ces pays doivent avoir défini les conditions de fonctionnement du marché, d'accès à ce marché et d'admission aux négociations et imposé le respect d'obligations de déclaration et de transparence.</w:t>
      </w:r>
    </w:p>
    <w:p w14:paraId="5738651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 Actifs immobiliers :</w:t>
      </w:r>
    </w:p>
    <w:p w14:paraId="298B929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17° Droits réels immobiliers afférents à des immeubles situés sur le territoire de l'un des Etats membres de l'OCDE et actions de sociétés d'épargne forestière relevant du paragraphe 4 de la sous-section 2 de la section 2 du chapitre IV du titre Ier du livre II du code monétaire et financier tel qu’applicable en Polynésie française ;</w:t>
      </w:r>
    </w:p>
    <w:p w14:paraId="6A83F6F5"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18° Parts ou actions des sociétés à objet strictement immobilier, parts des sociétés civiles à objet strictement foncier, ayant leur siège social sur le territoire de l'un des Etats membres de l'OCDE, dans les conditions fixées par arrêté pris en conseil des ministres ;</w:t>
      </w:r>
    </w:p>
    <w:p w14:paraId="63A60D1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19° Parts ou actions d'organismes de placement collectif immobilier relevant du paragraphe 3 de la sous-section 2 de la section 2 du chapitre IV du titre Ier du livre II du code monétaire et financier tel qu’applicable en Polynésie française, autres que ceux mentionnés au 22 ;</w:t>
      </w:r>
    </w:p>
    <w:p w14:paraId="7451F1E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20° Parts ou actions d'organismes professionnels de placement collectif immobilier relevant du sous-paragraphe 2 du paragraphe 1 de la sous-section 3 de la section 2 du chapitre IV du titre Ier du livre II du code monétaire et financier tel qu’applicable en Polynésie française ;</w:t>
      </w:r>
    </w:p>
    <w:p w14:paraId="06B9A84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21° Parts ou actions d'organismes de placement collectif immobilier mentionnés à l'article R. 214-120 du code monétaire et financier tel qu’applicable en Polynésie française, lorsqu'ils exercent la dérogation prévue à ce même article du même code.</w:t>
      </w:r>
    </w:p>
    <w:p w14:paraId="1B7A37D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-Prêts, dépôts et titres assimilés :</w:t>
      </w:r>
    </w:p>
    <w:p w14:paraId="3ABBF5F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22° Prêts obtenus ou garantis par les Etats membres de l'OCDE, par les collectivités publiques territoriales et les établissements publics des Etats membres de l'OCDE ;</w:t>
      </w:r>
    </w:p>
    <w:p w14:paraId="57D8B311"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23° Prêts hypothécaires aux personnes physiques ou morales ayant leur domicile ou leur siège social sur le territoire de l'un des Etats membres de l'OCDE, dans les conditions fixées par arrêté pris en conseil des ministres ;</w:t>
      </w:r>
    </w:p>
    <w:p w14:paraId="2F5A69F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24° Autres prêts ou créances représentatives de prêts consentis aux personnes physiques ou morales ayant leur domicile ou leur siège social sur le territoire de l'un des Etats membres de l'OCDE, dans les conditions fixées par arrêté pris en conseil des ministres ;</w:t>
      </w:r>
    </w:p>
    <w:p w14:paraId="3A9F296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25° Obligations, parts ou actions émises par un organisme de financement régi par la sous-section 5 de la section 2 du chapitre IV du titre Ier du livre II du code monétaire et financier tel qu’applicable en Polynésie française, dont l'actif est composé exclusivement d’obligations et de prêts répondant à des conditions fixées par arrêté pris en conseil des ministres.</w:t>
      </w:r>
    </w:p>
    <w:p w14:paraId="0705238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26° Dépôts auprès des établissements de crédit agréés en Polynésie française, dont le terme ne doit pas dépasser un an ou leur préavis de retrait trois mois ;</w:t>
      </w:r>
    </w:p>
    <w:p w14:paraId="6B2FA45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t>-Dispositions communes :</w:t>
      </w:r>
    </w:p>
    <w:p w14:paraId="1DC16CD6"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intérêts courus des placements énumérés au présent article sont assimilés auxdits placements.</w:t>
      </w:r>
    </w:p>
    <w:p w14:paraId="20791AB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Lorsqu'un instrument financier à terme a été souscrit dans les conditions définies à l'article DEL 323-9 et qu'il est lié à un titre ou à un groupe de titres de même nature, parmi ceux mentionnés au paragraphe A du présent article, les primes ou soultes versées ou reçues pour la mise en place de l'instrument sont assimilées audit titre ou groupe de titres de même nature, dans la limite de la part restant à amortir et, pour les primes ou soultes versées au titre d'opérations de gré à gré, du montant des garanties reçues dans les conditions fixées par arrêté pris en conseil des ministres.</w:t>
      </w:r>
    </w:p>
    <w:p w14:paraId="6101E70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actifs représentatifs des provisions techniques sont évalués nets des dettes contractées pour l'acquisition de ces mêmes actifs.</w:t>
      </w:r>
    </w:p>
    <w:p w14:paraId="21097CA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actifs donnés en garantie d'un engagement particulier ne sont pas admissibles en représentation des autres engagements.</w:t>
      </w:r>
    </w:p>
    <w:p w14:paraId="040086A3" w14:textId="2920E62F"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323-7</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1E147168" w14:textId="1FB3DA45" w:rsidR="00E1061D"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Un arrêté pris en conseil des ministres détermine les conditions dans lesquelles d’autres actifs, notamment les créances sur les assurés et les réassureurs, peuvent être admis en représentation des engagements réglementés mentionnés à l’article DEL 334-11.</w:t>
      </w:r>
    </w:p>
    <w:p w14:paraId="7E281209" w14:textId="567A6006"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323-8</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6248DB3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actifs mentionnés aux articles DEL 323-6 et DEL 323-7 sont admis à hauteur de leur valeur au bilan, sous réserve des limites ou abattements fixés par arrêté pris en conseil des ministres par actif ou ensemble d’actifs. Des dérogations à ces limites ou abattements peuvent être accordées au cas par cas par arrêté du Président de la Polynésie française.</w:t>
      </w:r>
    </w:p>
    <w:p w14:paraId="5F87288C" w14:textId="6C6604FD"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Dans tous les cas, l’ensemble des actifs admis en représentation des engagements réglementés doit présenter une sécurité, une liquidité et une rentabilité suffisantes.</w:t>
      </w:r>
    </w:p>
    <w:p w14:paraId="20DA51FA" w14:textId="7287A53B" w:rsidR="00BF0CCD" w:rsidRDefault="00BF0CCD" w:rsidP="00DB3519">
      <w:pPr>
        <w:spacing w:before="120" w:after="0"/>
        <w:jc w:val="both"/>
        <w:rPr>
          <w:rFonts w:ascii="Times New Roman" w:hAnsi="Times New Roman" w:cs="Times New Roman"/>
          <w:sz w:val="24"/>
          <w:szCs w:val="24"/>
        </w:rPr>
      </w:pPr>
    </w:p>
    <w:p w14:paraId="58DAB83A" w14:textId="77777777" w:rsidR="00BF0CCD" w:rsidRDefault="00BF0CCD" w:rsidP="00DB3519">
      <w:pPr>
        <w:spacing w:before="120" w:after="0"/>
        <w:jc w:val="both"/>
        <w:rPr>
          <w:rFonts w:ascii="Times New Roman" w:hAnsi="Times New Roman" w:cs="Times New Roman"/>
          <w:sz w:val="24"/>
          <w:szCs w:val="24"/>
        </w:rPr>
      </w:pPr>
    </w:p>
    <w:p w14:paraId="5F2B7919" w14:textId="0A7BC961"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323-9</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21D196B1"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Une entreprise d'assurance peut utiliser un instrument financier à terme au sens de l'article L. 211-1 du code monétaire et financier tel qu’applicable en Polynésie française si cet instrument permet, en adéquation avec les engagements de l'entreprise, une gestion efficace et prudente de ses placements, visant à titre principal au maintien de leur valeur ou de leur rendement.</w:t>
      </w:r>
    </w:p>
    <w:p w14:paraId="008EB947" w14:textId="114F70DC"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t>Sous-section II –Marge de solvabilité</w:t>
      </w:r>
    </w:p>
    <w:p w14:paraId="2FA965BD" w14:textId="40628C79" w:rsidR="00E1061D" w:rsidRPr="00506C80" w:rsidRDefault="00E1061D"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7E669C60" w14:textId="6FD2100A"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323-10</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418A08E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La marge de solvabilité des entreprises mentionnées à l’article DEL 323-2 est constituée, après déduction des pertes, de la part des frais d'acquisition non admise en représentation des engagements réglementés et des autres éléments incorporels, par les éléments suivants :</w:t>
      </w:r>
    </w:p>
    <w:p w14:paraId="67859A27"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Le capital social versé ou le fonds d'établissement constitué ; toutefois, les actions de priorité définies à l'article L. 228-11 du code de commerce tel qu’applicable en Polynésie française ne sont admises que si elles remplissent les conditions fixées par </w:t>
      </w:r>
      <w:r w:rsidRPr="00746E93">
        <w:rPr>
          <w:rFonts w:ascii="Times New Roman" w:hAnsi="Times New Roman" w:cs="Times New Roman"/>
          <w:sz w:val="24"/>
          <w:szCs w:val="24"/>
        </w:rPr>
        <w:t xml:space="preserve">le </w:t>
      </w:r>
      <w:r>
        <w:rPr>
          <w:rFonts w:ascii="Times New Roman" w:hAnsi="Times New Roman" w:cs="Times New Roman"/>
          <w:sz w:val="24"/>
          <w:szCs w:val="24"/>
        </w:rPr>
        <w:t>P</w:t>
      </w:r>
      <w:r w:rsidRPr="009D616A">
        <w:rPr>
          <w:rFonts w:ascii="Times New Roman" w:hAnsi="Times New Roman" w:cs="Times New Roman"/>
          <w:sz w:val="24"/>
          <w:szCs w:val="24"/>
        </w:rPr>
        <w:t>résident de</w:t>
      </w:r>
      <w:r>
        <w:rPr>
          <w:rFonts w:ascii="Times New Roman" w:hAnsi="Times New Roman" w:cs="Times New Roman"/>
          <w:sz w:val="24"/>
          <w:szCs w:val="24"/>
        </w:rPr>
        <w:t xml:space="preserve"> la Polynésie française relatives notamment aux droits financiers attachés et aux versements correspondants, lesquels doivent pouvoir être suspendus et ne sont pas dans ce cas reportés à un exercice ultérieur ;</w:t>
      </w:r>
    </w:p>
    <w:p w14:paraId="0B77C88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Les réserves de toute dénomination, réglementaires ou libres, ne correspondant pas aux engagements ;</w:t>
      </w:r>
    </w:p>
    <w:p w14:paraId="0D53936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Le report du bénéfice, des excédents ou de la perte, déduction faite des dividendes à verser au titre du dernier exercice ;</w:t>
      </w:r>
    </w:p>
    <w:p w14:paraId="5A4B3D3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L'emprunt ou les emprunts pour fonds social complémentaire ou pour fonds de développement ; toutefois, à partir de la moitié de la durée d'un emprunt, celui-ci n'est retenu dans la marge de solvabilité que pour sa valeur progressivement réduite chaque année d'un montant constant égal au double du montant total de cet emprunt divisé par le nombre d'années de sa durée.</w:t>
      </w:r>
    </w:p>
    <w:p w14:paraId="1377926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II- La marge de solvabilité peut également être constituée par les fonds effectivement encaissés provenant de l'émission de titres ou emprunts subordonnés, ainsi que d'actions de priorité définies à l'article L. 228-11 du code de commerce tel qu’applicable en Polynésie française autres que celles à caractère non cumulatif mentionnées au 1 du I ;</w:t>
      </w:r>
    </w:p>
    <w:p w14:paraId="6D37B707"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Ces titres et emprunts subordonnés et actions de priorité doivent répondre aux conditions, notamment de durée et de remboursements, qui sont fixées par arrêté pris en conseil des ministres. Ces fonds sont admis jusqu'à concurrence de 50 % de l'exigence de marge de solvabilité ou de la marge de solvabilité, le montant le plus faible étant retenu. Toutefois, la prise en compte de ceux de ces fonds qui proviennent de titres ou emprunts à durée déterminée n'est admise qu'à concurrence de 25</w:t>
      </w:r>
      <w:r>
        <w:t> </w:t>
      </w:r>
      <w:r>
        <w:rPr>
          <w:rFonts w:ascii="Times New Roman" w:hAnsi="Times New Roman" w:cs="Times New Roman"/>
          <w:sz w:val="24"/>
          <w:szCs w:val="24"/>
        </w:rPr>
        <w:t xml:space="preserve">% de cette marge. Tout remboursement effectué </w:t>
      </w:r>
      <w:r>
        <w:rPr>
          <w:rFonts w:ascii="Times New Roman" w:hAnsi="Times New Roman" w:cs="Times New Roman"/>
          <w:sz w:val="24"/>
          <w:szCs w:val="24"/>
        </w:rPr>
        <w:lastRenderedPageBreak/>
        <w:t>irrégulièrement peut, conformément aux dispositions du chapitre II du présent titre, donner lieu à des mesures de police ou de sanction ;</w:t>
      </w:r>
    </w:p>
    <w:p w14:paraId="0D758A4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III- Sur demande et justification de l'entreprise et avec l'accord du Président de la Polynésie française, la marge de solvabilité peut également être constituée par :</w:t>
      </w:r>
    </w:p>
    <w:p w14:paraId="714737B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La moitié de la fraction non versée du capital social ou de la part restant à rembourser de l'emprunt pour le fonds d'établissement, dès que la partie versée atteint 25 % de ce capital ou de ce fonds, à concurrence, pour les entreprises d'assurance régies par le présent code, de 50 % de la marge de solvabilité ou de l'exigence minimale de marge de solvabilité, le montant le plus faible étant retenu ;</w:t>
      </w:r>
    </w:p>
    <w:p w14:paraId="543214F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 Les rappels de cotisations que les sociétés d'assurance mutuelle ou les mutuelles et unions régies par la réglementation applicable aux mutuelles peuvent exiger de leurs sociétaires ou de leurs membres participants et honoraires au titre de l'exercice, à concurrence de la moitié de la différence entre les cotisations maximales et les cotisations effectivement appelées, dans la limite de 50</w:t>
      </w:r>
      <w:r>
        <w:t> </w:t>
      </w:r>
      <w:r>
        <w:rPr>
          <w:rFonts w:ascii="Times New Roman" w:hAnsi="Times New Roman" w:cs="Times New Roman"/>
          <w:sz w:val="24"/>
          <w:szCs w:val="24"/>
        </w:rPr>
        <w:t>% de la marge de solvabilité ou de l'exigence minimale de marge, le montant le plus faible étant retenu ;</w:t>
      </w:r>
    </w:p>
    <w:p w14:paraId="205C2B1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Les plus-values pouvant résulter de la sous-estimation d'éléments d'actif et de la surestimation d'éléments de passif, dans la mesure où de telles plus-values n'ont pas un caractère exceptionnel ;</w:t>
      </w:r>
    </w:p>
    <w:p w14:paraId="0AEEE56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IV- La marge de solvabilité est diminuée des éléments suivants :</w:t>
      </w:r>
    </w:p>
    <w:p w14:paraId="09E29F05"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Les actions propres détenues directement par l'entreprise d'assurance ;</w:t>
      </w:r>
    </w:p>
    <w:p w14:paraId="55FB420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Les participations que l'entreprise d'assurance détient dans un établissement de crédit, une société de financement, une entreprise d'investissement, une société de gestion de portefeuille ou un établissement financier ;</w:t>
      </w:r>
    </w:p>
    <w:p w14:paraId="2321F89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Les créances subordonnées que l'entreprise d'assurance détient sur les entreprises mentionnées au b) dans lesquelles elle détient une participation ;</w:t>
      </w:r>
    </w:p>
    <w:p w14:paraId="694B7D9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t>Les certificats mutualistes ou paritaires émis et détenus directement par l'entreprise d'assurance ;</w:t>
      </w:r>
    </w:p>
    <w:p w14:paraId="101E12E7"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t>Les moins-values latentes sur instruments financiers à terme non provisionnées.</w:t>
      </w:r>
    </w:p>
    <w:p w14:paraId="6CC7E3D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Toutefois, les éléments mentionnés aux b) et c) peuvent ne pas être déduits lorsque les participations mentionnées à ces alinéas sont détenues de manière temporaire en vue d'apporter un soutien financier à ces entreprises.</w:t>
      </w:r>
    </w:p>
    <w:p w14:paraId="4B7D54C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V- Lorsqu'il estime que l'appréciation du report du bénéfice, de l'excédent ou de la perte mentionnée au 3 du I est susceptible d'être faussée par l'existence d'un contrat de réassurance financière limitée souscrit par l'entreprise, le Président de la Polynésie française peut limiter la prise en compte de ce report, en vue d'y intégrer les charges futures attendues au titre de ce contrat. Le cas échéant, le montant de la marge de solvabilité est ajusté au terme du contrat de réassurance financière limitée, en fonction du report cumulé effectivement constaté.</w:t>
      </w:r>
    </w:p>
    <w:p w14:paraId="22291DE6" w14:textId="7A5E4853"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323-11</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1E6CB35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lastRenderedPageBreak/>
        <w:t>L’exigence de marge de solvabilité des entreprises mentionnées à l’article DEL 323-2 est la somme des exigences calculées conformément aux articles DEL 323-12 et DEL 323-13, sans pouvoir être inférieure au minimum absolu suivant :</w:t>
      </w:r>
    </w:p>
    <w:p w14:paraId="4B2989B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260 000 000 F CFP pour les entreprises qui sont agréées pour les branches 1 à 18 ;</w:t>
      </w:r>
    </w:p>
    <w:p w14:paraId="1396162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380 000 000 F CFP pour les entreprises qui sont agréées pour les branches 20 à 23.</w:t>
      </w:r>
    </w:p>
    <w:p w14:paraId="7FDC2DE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Ce minimum n’est pas applicable aux mutuelles qui remplissent simultanément les conditions suivantes : </w:t>
      </w:r>
    </w:p>
    <w:p w14:paraId="3CDAEEE9"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a) Leurs statuts prévoient la possibilité de procéder à des rappels de cotisation ;</w:t>
      </w:r>
    </w:p>
    <w:p w14:paraId="360C2667"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b) Elles ne garantissent pas les risques de responsabilité civile, sauf si ces risques constituent une garantie accessoire dans les conditions prévues par l'article DEL 321-3, ni les risques entrant dans les branches mentionnées aux 14 et 15 de l'article DEL 321-1 du présent code ; </w:t>
      </w:r>
    </w:p>
    <w:p w14:paraId="0B2A1B6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 Le montant annuel de leurs cotisations émises, accessoires compris et annulations déduites, ne dépasse pas 700 000 000 F CFP ;</w:t>
      </w:r>
    </w:p>
    <w:p w14:paraId="69692989"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d) La moitié au moins de leurs cotisations sont versées par des personnes physiques.</w:t>
      </w:r>
    </w:p>
    <w:p w14:paraId="026B49AF" w14:textId="404D0EFA"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323-12</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68F67B0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Pour les entreprises mentionnées à l'article DEL 323-2, l'exigence de marge de solvabilité relative aux opérations mentionnées au 2° et au 3° de l’article LP 310-1 est déterminée, soit par rapport au montant annuel des primes ou cotisations, soit par rapport à la charge moyenne annuelle des sinistres. Cette exigence de marge est égale au plus élevé des résultats obtenus par application des deux méthodes suivantes :</w:t>
      </w:r>
    </w:p>
    <w:p w14:paraId="52DB1EE0" w14:textId="77777777" w:rsidR="00DB3519" w:rsidRDefault="00DB3519" w:rsidP="00DB3519">
      <w:pPr>
        <w:pStyle w:val="Paragraphedeliste"/>
        <w:numPr>
          <w:ilvl w:val="0"/>
          <w:numId w:val="1"/>
        </w:numPr>
        <w:spacing w:before="120" w:after="0"/>
        <w:ind w:left="426" w:hanging="426"/>
        <w:jc w:val="both"/>
        <w:rPr>
          <w:rFonts w:ascii="Times New Roman" w:hAnsi="Times New Roman" w:cs="Times New Roman"/>
          <w:sz w:val="24"/>
          <w:szCs w:val="24"/>
        </w:rPr>
      </w:pPr>
      <w:r>
        <w:rPr>
          <w:rFonts w:ascii="Times New Roman" w:hAnsi="Times New Roman" w:cs="Times New Roman"/>
          <w:sz w:val="24"/>
          <w:szCs w:val="24"/>
        </w:rPr>
        <w:t>Première méthode (calcul par rapport aux primes).</w:t>
      </w:r>
    </w:p>
    <w:p w14:paraId="3B3C6BF7"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La base des primes est calculée à partir des primes ou cotisations brutes émises ou des primes ou cotisations brutes acquises, le chiffre le plus élevé étant retenu. Les primes ou cotisations nettes d'annulation et de taxes pour les branches 11,12 et 13 énumérées à l'article DEL 321- 1sont majorées de 50 %. Les primes ou cotisations émises dans le cadre des affaires directes au cours du dernier exercice, accessoires compris, sont agrégées. Il est ajouté à ce montant le total des primes acceptées en réassurance au cours du dernier exercice.</w:t>
      </w:r>
    </w:p>
    <w:p w14:paraId="1806AE7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De cette somme sont déduits, d'une part, le total des primes ou cotisations annulées au cours du dernier exercice, d'autre part, le total des impôts et taxes afférents aux primes ou cotisations précitées.</w:t>
      </w:r>
    </w:p>
    <w:p w14:paraId="53609706"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montant obtenu est multiplié par 18 %.</w:t>
      </w:r>
    </w:p>
    <w:p w14:paraId="3B8EA21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résultat déterminé par application de la première méthode est calculé en multipliant le montant obtenu à l'alinéa précédent par le rapport existant, pour les trois derniers exercices entre le montant des sinistres demeurant à la charge de l'entreprise après cession en réassurance et le montant des sinistres brut de réassurance, sans que ce rapport puisse être inférieur à 50 %.</w:t>
      </w:r>
    </w:p>
    <w:p w14:paraId="69EC145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Par arrêté pris en conseil des ministres, des méthodes statistiques peuvent être utilisées pour l'affectation des primes ou cotisations </w:t>
      </w:r>
    </w:p>
    <w:p w14:paraId="20D4D686" w14:textId="77777777" w:rsidR="00DB3519" w:rsidRDefault="00DB3519" w:rsidP="00DB3519">
      <w:pPr>
        <w:pStyle w:val="Paragraphedeliste"/>
        <w:numPr>
          <w:ilvl w:val="0"/>
          <w:numId w:val="1"/>
        </w:numPr>
        <w:spacing w:before="120" w:after="0"/>
        <w:ind w:left="426" w:hanging="426"/>
        <w:jc w:val="both"/>
        <w:rPr>
          <w:rFonts w:ascii="Times New Roman" w:hAnsi="Times New Roman" w:cs="Times New Roman"/>
          <w:sz w:val="24"/>
          <w:szCs w:val="24"/>
        </w:rPr>
      </w:pPr>
      <w:r>
        <w:rPr>
          <w:rFonts w:ascii="Times New Roman" w:hAnsi="Times New Roman" w:cs="Times New Roman"/>
          <w:sz w:val="24"/>
          <w:szCs w:val="24"/>
        </w:rPr>
        <w:t>Deuxième méthode (calcul par rapport à la charge moyenne annuelle des sinistres).</w:t>
      </w:r>
    </w:p>
    <w:p w14:paraId="20369DC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lastRenderedPageBreak/>
        <w:t>Au total des sinistres payés pour les affaires directes au cours des trois derniers exercices, sans déduction des sinistres à la charge des cessionnaires et rétrocessionnaires, sont ajoutés, d'une part, les sinistres payés au titre des acceptations en réassurance ou en rétrocession au cours des mêmes exercices, d'autre part, les provisions pour sinistres à payer constituées à la fin du dernier exercice, tant pour les affaires directes que pour les acceptations en réassurance.</w:t>
      </w:r>
    </w:p>
    <w:p w14:paraId="6A4EF577"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Pour les branches 11, 12 et 13 énumérées à l'article DEL 321-1, les sinistres, provisions et recours sont majorés de 50 %.</w:t>
      </w:r>
    </w:p>
    <w:p w14:paraId="722BB5D6"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De cette somme sont déduits, d'une part, les recours encaissés au cours des trois derniers exercices, d'autre part, les provisions pour sinistres à payer constituées au commencement du deuxième exercice précédant le dernier exercice, tant pour les affaires directes que pour les acceptations en réassurance.</w:t>
      </w:r>
    </w:p>
    <w:p w14:paraId="11EBCA4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tiers du montant ainsi obtenu est multiplié par 26 %.</w:t>
      </w:r>
    </w:p>
    <w:p w14:paraId="1DBAEEA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résultat déterminé par application de la deuxième méthode est calculé en multipliant le montant obtenu à l'alinéa précédent, par le rapport existant, pour les trois derniers exercices, entre le montant des sinistres demeurant à la charge de l'entreprise après cession en réassurance et le montant des sinistres brut de réassurance, sans que ce rapport puisse être inférieur à 50 %.</w:t>
      </w:r>
    </w:p>
    <w:p w14:paraId="2762BB7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Pour la branche mentionnée au 18 de l'article DEL 321-1, le montant des sinistres payés entrant dans le calcul du résultat déterminé par application de la seconde méthode est le coût résultant pour l'entreprise des interventions effectuées en matière d'assistance, y compris les coûts d'assistance directs internes.</w:t>
      </w:r>
    </w:p>
    <w:p w14:paraId="11BD7CB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Si les calculs des a) et b) donnent un résultat inférieur à l'exigence de marge de l'exercice précédent, l'exigence de marge de solvabilité est au moins égale à celle de l'exercice précédent multipliée par le rapport entre les provisions techniques pour sinistres à payer à la fin du dernier exercice et le montant des provisions techniques pour sinistres à payer au début du dernier exercice. Dans ces calculs, les provisions techniques sont calculées déduction faite de la réassurance, ce rapport ne pouvant cependant pas être supérieur à un.</w:t>
      </w:r>
    </w:p>
    <w:p w14:paraId="2D659DA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En outre, pour la prise en compte de la réassurance financière limitée dans le ratio de réassurance mentionné au dernier alinéa du a) et au dernier alinéa du b), la Polynésie française se fonde sur le transfert de risque effectif.</w:t>
      </w:r>
    </w:p>
    <w:p w14:paraId="2E5E7D4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Sur demande et justification de l'entreprise auprès </w:t>
      </w:r>
      <w:r w:rsidRPr="00784E33">
        <w:rPr>
          <w:rFonts w:ascii="Times New Roman" w:hAnsi="Times New Roman" w:cs="Times New Roman"/>
          <w:sz w:val="24"/>
          <w:szCs w:val="24"/>
        </w:rPr>
        <w:t xml:space="preserve">du </w:t>
      </w:r>
      <w:r>
        <w:rPr>
          <w:rFonts w:ascii="Times New Roman" w:hAnsi="Times New Roman" w:cs="Times New Roman"/>
          <w:sz w:val="24"/>
          <w:szCs w:val="24"/>
        </w:rPr>
        <w:t>P</w:t>
      </w:r>
      <w:r w:rsidRPr="00784E33">
        <w:rPr>
          <w:rFonts w:ascii="Times New Roman" w:hAnsi="Times New Roman" w:cs="Times New Roman"/>
          <w:sz w:val="24"/>
          <w:szCs w:val="24"/>
        </w:rPr>
        <w:t>résident</w:t>
      </w:r>
      <w:r>
        <w:rPr>
          <w:rFonts w:ascii="Times New Roman" w:hAnsi="Times New Roman" w:cs="Times New Roman"/>
          <w:sz w:val="24"/>
          <w:szCs w:val="24"/>
        </w:rPr>
        <w:t xml:space="preserve"> de la Polynésie française, et sur décision de celui-ci, les montants récupérables au titre des risques transférés à un véhicule de titrisation peuvent être assimilés à des cessions en réassurance pour le calcul du rapport mentionné au dernier alinéa du a) et au dernier alinéa du b).</w:t>
      </w:r>
    </w:p>
    <w:p w14:paraId="40639C59" w14:textId="3DDF7399" w:rsidR="00E1061D"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La Polynésie française tient compte du transfert de risque effectif pour apprécier l'ampleur de la réduction d'exigence de marge de solvabilité autorisée au titre de chaque opération réalisée avec un véhicule de titrisation. Il tient également compte de la capacité de ce véhicule à respecter à tout moment ses engagements.</w:t>
      </w:r>
    </w:p>
    <w:p w14:paraId="4B5B8E55" w14:textId="4871DBDF"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323-13</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12702B1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Pour les entreprises mentionnées à l'article DEL 323-2, l'exigence de marge de solvabilité relative aux opérations mentionnées au 1° de l’article LP 310-1 est déterminée, en fonction des branches exercées, en application des dispositions suivantes :</w:t>
      </w:r>
    </w:p>
    <w:p w14:paraId="7431235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lastRenderedPageBreak/>
        <w:t>a)</w:t>
      </w:r>
      <w:r>
        <w:rPr>
          <w:rFonts w:ascii="Times New Roman" w:hAnsi="Times New Roman" w:cs="Times New Roman"/>
          <w:sz w:val="24"/>
          <w:szCs w:val="24"/>
        </w:rPr>
        <w:tab/>
        <w:t>Pour la branche 20 mentionnée à l’article DEL 321-1, à l'exception des assurances ou garanties complémentaires, l'exigence de marge est calculée par rapport aux provisions mathématiques et de gestion et aux capitaux sous risque. Ce montant est égal à la somme des deux résultats suivants :</w:t>
      </w:r>
    </w:p>
    <w:p w14:paraId="1C2667C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premier résultat est obtenu en multipliant un nombre représentant 4 % de la somme des provisions mentionnées au premier alinéa, relatives aux opérations d'assurances directes sans déduction des cessions en réassurance et aux acceptations en réassurance, par le rapport existant, pour le dernier exercice, entre le montant des provisions mathématiques après cessions en réassurance et le montant des provisions mathématiques brut de réassurance, sans que ce rapport puisse être inférieur à 85 %.</w:t>
      </w:r>
    </w:p>
    <w:p w14:paraId="0866F6D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second résultat est obtenu en multipliant un nombre représentant 0,3 % des capitaux sous risque par le rapport existant, pour le dernier exercice, entre le montant des capitaux sous risque après cession et rétrocession en réassurance et le montant des capitaux sous risque brut de réassurance, sans que ce rapport puisse être inférieur à 50 %.</w:t>
      </w:r>
    </w:p>
    <w:p w14:paraId="711736A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Pour les assurances temporaires en cas de décès d'une durée maximale de trois années, le facteur multiplicateur des capitaux sous risque est égal à 0,1 %. Il est fixé à 0,15 % desdits capitaux pour les assurances temporaires en cas de décès dont la durée est supérieure à trois années mais n'excède pas cinq années.</w:t>
      </w:r>
    </w:p>
    <w:p w14:paraId="2299254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capital sous risque est égal au risque décès, déduction faite de la provision mathématique du risque principal ;</w:t>
      </w:r>
    </w:p>
    <w:p w14:paraId="6838B31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Pour les assurances ou garanties complémentaires à des contrats comportant des engagements résultant d'opérations classées aux branches 20 et 22, l'exigence de marge est égale à l'exigence de marge de solvabilité des entreprises d'assurance, telle que prévue par l'article DEL 323-12;</w:t>
      </w:r>
    </w:p>
    <w:p w14:paraId="623B7B6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Pour la branche 23 mentionnée à l’article DEL 321-1, à l'exception des opérations de capitalisation exprimées en unités de compte, l'exigence minimale de marge est égale au résultat obtenu en multipliant un nombre représentant 4 % des provisions techniques relatives aux opérations d'assurances directes et aux acceptations brutes de réassurance par le rapport mentionné au premier résultat défini au a) ;</w:t>
      </w:r>
    </w:p>
    <w:p w14:paraId="1EFB116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Pour la branche 22 mentionnée à l’article DEL 321-1, à l'exception des assurances ou garanties complémentaires, pour la branche 23 mentionnée à l’article DEL 321-1, lorsqu'il s'agit des opérations de capitalisation exprimées en unités de compte, l'exigence de marge est égale :</w:t>
      </w:r>
    </w:p>
    <w:p w14:paraId="20D6E86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Lorsque l'entreprise assume un risque de placement, à un nombre représentant 4 % des provisions techniques relatives aux opérations d'assurances directes et d'acceptations brutes de réassurance multiplié par le rapport mentionné au premier résultat défini au a) ;</w:t>
      </w:r>
    </w:p>
    <w:p w14:paraId="6F9F2876"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Lorsque l'entreprise n'assume pas de risque de placement, à un nombre représentant 1 % des provisions techniques des contrats multiplié par le rapport mentionné au premier résultat du a), à la condition que le montant destiné à couvrir les frais de gestion prévus dans ces contrats soit fixé pour une période supérieure à cinq années ;</w:t>
      </w:r>
    </w:p>
    <w:p w14:paraId="47E01DA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Lorsque l'entreprise assume un risque de mortalité, le montant de l'exigence de marge est obtenu en ajoutant à l'un ou l'autre des résultats déterminés par application des dispositions des trois alinéas précédents un nombre représentant 0,3 % des capitaux sous risque, multiplié </w:t>
      </w:r>
      <w:r>
        <w:rPr>
          <w:rFonts w:ascii="Times New Roman" w:hAnsi="Times New Roman" w:cs="Times New Roman"/>
          <w:sz w:val="24"/>
          <w:szCs w:val="24"/>
        </w:rPr>
        <w:lastRenderedPageBreak/>
        <w:t>par le rapport existant, pour le dernier exercice, entre le montant des capitaux sous risque après cessions et rétrocessions en réassurance et le montant des capitaux sous risque brut de réassurance, sans que ce rapport puisse être inférieur à 50 % ;</w:t>
      </w:r>
    </w:p>
    <w:p w14:paraId="7BDF0B0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En outre, pour la prise en compte de la réassurance financière limitée dans le ratio de réassurance mentionné aux deuxième et troisième alinéas du a), la Polynésie française se fonde sur le transfert de risque effectif.</w:t>
      </w:r>
    </w:p>
    <w:p w14:paraId="36B7DB1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Sur demande et justification de l'entreprise auprès de la Polynésie française, et sur décision de son président, les montants récupérables au titre des risques transférés à un véhicule de titrisation peuvent être assimilés à des cessions en réassurance pour le calcul du rapport mentionné aux deuxième et troisième alinéas du a).</w:t>
      </w:r>
    </w:p>
    <w:p w14:paraId="465C2A5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Président de la Polynésie française tient compte du transfert de risque effectif pour apprécier l'ampleur de la réduction d'exigence de marge de solvabilité autorisée au titre de chaque opération réalisée avec un véhicule de titrisation. Il tient également compte de la capacité de ce véhicule à respecter à tout moment ses engagements.</w:t>
      </w:r>
    </w:p>
    <w:p w14:paraId="58D2100B" w14:textId="3CC40E1D"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323-14</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0DBE632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z w:val="24"/>
          <w:szCs w:val="24"/>
        </w:rPr>
        <w:tab/>
        <w:t>- Le Président de la Polynésie française peut exiger d'une entreprise d'assurance une marge de solvabilité majorée, supérieure à l'exigence de marge mentionnée, selon les cas, à l'article DEL 323-12 ou à l'article DEL 323-13. Toutefois, l’exigence majorée de marge de solvabilité ne peut être supérieure au double de l'exigence de marge mentionnée aux articles DEL 323-12 ou DEL 323-13.</w:t>
      </w:r>
    </w:p>
    <w:p w14:paraId="5BEF350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t>- Le Président de la Polynésie française peut limiter la réduction de la marge de solvabilité prévue aux quatrièmes alinéas des a) et b) des articles DEL 323-12 et DEL 323-13 lorsque :</w:t>
      </w:r>
    </w:p>
    <w:p w14:paraId="02D2F1B1"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 Le contenu ou la qualité du programme de réassurance a subi des modifications sensibles depuis le dernier exercice ;</w:t>
      </w:r>
    </w:p>
    <w:p w14:paraId="718ECF17"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 Ou lorsque le programme de réassurance ne prévoit aucun transfert de risques ou un transfert insignifiant.</w:t>
      </w:r>
    </w:p>
    <w:p w14:paraId="0EABA39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t>- Lorsqu'il constate que les éléments constitutifs de la marge de solvabilité d'une entreprise d'assurance ont connu une baisse d'au moins 33 % au cours du dernier exercice clos par rapport à la moyenne de ces éléments constitutifs de la marge constatée au cours des quatre exercices précédant le dernier exercice, ou lorsqu'il estime que les moins-values latentes sur les placements font peser un risque de solvabilité, le Président de la Polynésie française peut :</w:t>
      </w:r>
    </w:p>
    <w:p w14:paraId="69B08AF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 Soit demander à l'entreprise de déduire des éléments constitutifs de la marge de solvabilité tout ou partie du montant de la moins-value latente nette globale constatée sur les placements mentionnés à l'article DEL 334-15 ;</w:t>
      </w:r>
    </w:p>
    <w:p w14:paraId="34D0D44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 Soit demander à l'entreprise de déduire tout ou partie du montant de la moins-value latente nette globale constatée sur les actifs mentionnés à l'article DEL 334-16 et non provisionné par la provision pour risque d'exigibilité ;</w:t>
      </w:r>
    </w:p>
    <w:p w14:paraId="4A6D068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3° Soit mettre en œuvre de manière appropriée une combinaison des mesures précédentes.</w:t>
      </w:r>
    </w:p>
    <w:p w14:paraId="53A15019" w14:textId="77777777" w:rsidR="00DB3519" w:rsidRDefault="00DB3519" w:rsidP="00DB3519">
      <w:pPr>
        <w:spacing w:before="120" w:after="0"/>
        <w:jc w:val="both"/>
        <w:rPr>
          <w:rFonts w:ascii="Times New Roman" w:hAnsi="Times New Roman" w:cs="Times New Roman"/>
          <w:sz w:val="24"/>
          <w:szCs w:val="24"/>
        </w:rPr>
      </w:pPr>
    </w:p>
    <w:p w14:paraId="6E8AB91A" w14:textId="485E47ED"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lastRenderedPageBreak/>
        <w:t>Sous-section III- Gouvernance</w:t>
      </w:r>
    </w:p>
    <w:p w14:paraId="63FA1D52" w14:textId="1264BE26" w:rsidR="00E1061D" w:rsidRPr="00506C80" w:rsidRDefault="00E1061D"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5AEC1B78" w14:textId="78A5E483" w:rsidR="00DB3519" w:rsidRPr="00E1061D"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323-15</w:t>
      </w:r>
      <w:r w:rsidR="00E1061D">
        <w:rPr>
          <w:rFonts w:ascii="Times New Roman" w:hAnsi="Times New Roman" w:cs="Times New Roman"/>
          <w:b/>
          <w:sz w:val="24"/>
          <w:szCs w:val="24"/>
        </w:rPr>
        <w:t xml:space="preserve"> </w:t>
      </w:r>
      <w:r w:rsidR="00E1061D" w:rsidRPr="00E1061D">
        <w:rPr>
          <w:rFonts w:ascii="Times New Roman" w:hAnsi="Times New Roman" w:cs="Times New Roman"/>
          <w:sz w:val="24"/>
          <w:szCs w:val="24"/>
        </w:rPr>
        <w:t>(rédaction issue de Délibération n° 2025-94 APF du 27 août 2025)</w:t>
      </w:r>
    </w:p>
    <w:p w14:paraId="2EE6C2B5"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entreprises mentionnées à l’article DEL 323-2 sont tenues de mettre en place un dispositif permanent de contrôle interne.</w:t>
      </w:r>
    </w:p>
    <w:p w14:paraId="65C853B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conseil d'administration ou le conseil de surveillance approuve, au moins une fois par an, un rapport sur le contrôle interne, qui est transmis au Président de la Polynésie française.</w:t>
      </w:r>
    </w:p>
    <w:p w14:paraId="5141B6D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Il fixe, au moins annuellement, les lignes directrices de la politique de placement et les lignes directrices de la politique de réassurance.</w:t>
      </w:r>
    </w:p>
    <w:p w14:paraId="6110BBA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A la clôture de chaque exercice, le conseil d'administration ou le directoire établit un rapport de solvabilité écrit dont le contenu est fixé par le conseil des ministres. Ce rapport expose les conditions dans lesquelles l'entreprise garantit, par la constitution des provisions techniques suffisantes, dont les modalités de calcul et les hypothèses retenues sont explicitées et justifiées, les engagements qu'elle prend à l'égard des assurés ou des entreprises réassurées, rappelle les orientations définies en matière de placements, présente et analyse les résultats obtenus et indique si la marge de solvabilité est constituée conformément à la réglementation applicable. Le rapport de solvabilité contient obligatoirement une analyse des conditions dans lesquelles l'entreprise est en mesure, à moyen et long terme, de faire face à l'ensemble de ses engagements.</w:t>
      </w:r>
    </w:p>
    <w:p w14:paraId="59FD176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rapport de solvabilité mentionné à l’alinéa précédent est communiqué aux commissaires aux comptes et au Président de la Polynésie française.</w:t>
      </w:r>
    </w:p>
    <w:p w14:paraId="5D7749F8" w14:textId="7097C179" w:rsidR="00DB3519" w:rsidRPr="00E572B9"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323-16</w:t>
      </w:r>
      <w:r w:rsidR="00E572B9" w:rsidRPr="00E1061D">
        <w:rPr>
          <w:rFonts w:ascii="Times New Roman" w:hAnsi="Times New Roman" w:cs="Times New Roman"/>
          <w:sz w:val="24"/>
          <w:szCs w:val="24"/>
        </w:rPr>
        <w:t>(rédaction issue de Délibération n° 2025-94 APF du 27 août 2025)</w:t>
      </w:r>
    </w:p>
    <w:p w14:paraId="445D857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 rapport de contrôle interne détaille, dans sa première partie, les conditions de préparation et d'organisation des travaux du conseil d'administration ou du conseil de surveillance et, le cas échéant, les limitations apportées par le conseil d'administration aux pouvoirs du directeur général dans l'exercice de ses fonctions. </w:t>
      </w:r>
    </w:p>
    <w:p w14:paraId="52D6D072"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La seconde partie de ce rapport détaille : </w:t>
      </w:r>
    </w:p>
    <w:p w14:paraId="16077C8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a) Les objectifs, la méthodologie, la position et l'organisation générale du contrôle interne au sein de l'entreprise, les mesures prises pour assurer l'indépendance et l'efficacité du contrôle interne et notamment la compétence et l'expérience des équipes chargées de le mettre en œuvre, ainsi que les suites données aux recommandations des personnes ou instances chargées du contrôle interne ;</w:t>
      </w:r>
    </w:p>
    <w:p w14:paraId="384236F1"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b) Les procédures permettant de vérifier, d'une part, que les activités de l'entreprise sont menées selon les politiques et stratégies établies par les organes dirigeants, d'autre part, la conformité des opérations d'assurance ou de réassurance aux dispositions législatives et réglementaires ; </w:t>
      </w:r>
    </w:p>
    <w:p w14:paraId="5F428FD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c) Les méthodes utilisées pour assurer la mesure, l'évaluation et le contrôle des placements, concernant en particulier l'évaluation de la qualité des actifs et de la gestion actif-passif, le suivi des opérations sur instruments financiers à terme et l'appréciation des performances et des marges des intermédiaires financiers utilisés ; </w:t>
      </w:r>
    </w:p>
    <w:p w14:paraId="1795389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d) Le dispositif interne de contrôle de la gestion des placements, ce qui inclut la répartition interne des responsabilités au sein du personnel, les personnes chargées d'effectuer les </w:t>
      </w:r>
      <w:r>
        <w:rPr>
          <w:rFonts w:ascii="Times New Roman" w:hAnsi="Times New Roman" w:cs="Times New Roman"/>
          <w:sz w:val="24"/>
          <w:szCs w:val="24"/>
        </w:rPr>
        <w:lastRenderedPageBreak/>
        <w:t xml:space="preserve">transactions ne pouvant être également chargées de leur suivi, les délégations de pouvoir, la diffusion de l'information, les procédures internes de contrôle ou d'audit ; </w:t>
      </w:r>
    </w:p>
    <w:p w14:paraId="52A8107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e) Les procédures et dispositifs permettant d'identifier, d'évaluer, de gérer et de contrôler les risques liés aux engagements de l'entreprise et de détenir des capitaux suffisants pour ces risques, ainsi que les méthodes utilisées pour vérifier la conformité des pratiques en matière d'acceptation et de tarification du risque, de cession en réassurance et de provisionnement des engagements réglementés à la politique de l'entreprise dans ces domaines, définie dans le rapport de solvabilité mentionné à l'article DEL 323 7 ; </w:t>
      </w:r>
    </w:p>
    <w:p w14:paraId="148D178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f) Les mesures prises pour assurer le suivi de la gestion des sinistres, le suivi des filiales, la maîtrise des activités externalisées et des modes de commercialisation des produits de l'entreprise et les risques qui pourraient en résulter. </w:t>
      </w:r>
    </w:p>
    <w:p w14:paraId="03CD4009" w14:textId="169C3EC9" w:rsidR="00DB3519" w:rsidRPr="00E572B9" w:rsidRDefault="00DB3519" w:rsidP="00E572B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323-17</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741E5B81"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 conseil d'administration ou le conseil de surveillance délibère sur les lignes directrices de la politique de placement en s’appuyant sur le rapport de solvabilité mentionné à l'article DEL 323-15 qui, dans une partie distincte relative aux placements, présente les résultats obtenus pour chaque portefeuille et chaque catégorie de placements, détaille les opérations mentionnées à l’article DEL 323-9 et réalisées au cours de la période écoulée et fixe, pour ces opérations, les limites aux risques de marché, de contrepartie et de liquidité encourus sur les opérations à venir. </w:t>
      </w:r>
    </w:p>
    <w:p w14:paraId="4BA95395"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Il se prononce en particulier sur les modalités de choix des intermédiaires financiers, sur la gestion actif-passif, sur la qualité des actifs et sur les opérations sur instruments financiers à terme.</w:t>
      </w:r>
    </w:p>
    <w:p w14:paraId="39F84E60" w14:textId="1666C248" w:rsidR="00DB3519" w:rsidRPr="00E572B9"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323-18</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05E38B26"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Lorsqu'elle utilise pour la première fois des instruments financiers à terme, l'entreprise d'assurance en informe préalablement la Polynésie française.</w:t>
      </w:r>
    </w:p>
    <w:p w14:paraId="055DF538" w14:textId="48C6460A" w:rsidR="00DB3519" w:rsidRPr="00E572B9" w:rsidRDefault="00DB3519" w:rsidP="00DB351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323-19</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0095129B" w14:textId="77777777" w:rsidR="00DB3519" w:rsidRDefault="00DB3519" w:rsidP="00DB3519">
      <w:pPr>
        <w:spacing w:before="120" w:after="0"/>
        <w:rPr>
          <w:rFonts w:ascii="Times New Roman" w:hAnsi="Times New Roman" w:cs="Times New Roman"/>
          <w:sz w:val="24"/>
          <w:szCs w:val="24"/>
        </w:rPr>
      </w:pPr>
      <w:r>
        <w:rPr>
          <w:rFonts w:ascii="Times New Roman" w:hAnsi="Times New Roman" w:cs="Times New Roman"/>
          <w:sz w:val="24"/>
          <w:szCs w:val="24"/>
        </w:rPr>
        <w:t>L'entreprise effectue un suivi permanent des opérations mentionnées à l’article DEL 323-9. Elle tient à cet effet un relevé quotidien des positions prises pour chaque catégorie de placement sous-jacent, échéance par échéance.</w:t>
      </w:r>
    </w:p>
    <w:p w14:paraId="71F76CB1" w14:textId="77777777" w:rsidR="00DB3519" w:rsidRDefault="00DB3519" w:rsidP="00DB3519">
      <w:pPr>
        <w:spacing w:before="120" w:after="0"/>
        <w:rPr>
          <w:rFonts w:ascii="Times New Roman" w:hAnsi="Times New Roman" w:cs="Times New Roman"/>
          <w:sz w:val="24"/>
          <w:szCs w:val="24"/>
        </w:rPr>
      </w:pPr>
      <w:r>
        <w:rPr>
          <w:rFonts w:ascii="Times New Roman" w:hAnsi="Times New Roman" w:cs="Times New Roman"/>
          <w:sz w:val="24"/>
          <w:szCs w:val="24"/>
        </w:rPr>
        <w:t>Le système de suivi doit permettre :</w:t>
      </w:r>
    </w:p>
    <w:p w14:paraId="3C11BED5" w14:textId="77777777" w:rsidR="00DB3519" w:rsidRDefault="00DB3519" w:rsidP="00DB3519">
      <w:pPr>
        <w:spacing w:before="120" w:after="0"/>
        <w:rPr>
          <w:rFonts w:ascii="Times New Roman" w:hAnsi="Times New Roman" w:cs="Times New Roman"/>
          <w:sz w:val="24"/>
          <w:szCs w:val="24"/>
        </w:rPr>
      </w:pPr>
      <w:r>
        <w:rPr>
          <w:rFonts w:ascii="Times New Roman" w:hAnsi="Times New Roman" w:cs="Times New Roman"/>
          <w:sz w:val="24"/>
          <w:szCs w:val="24"/>
        </w:rPr>
        <w:t>a) Une évaluation sans délai des valeurs de réalisation ;</w:t>
      </w:r>
    </w:p>
    <w:p w14:paraId="0FD2D26A" w14:textId="77777777" w:rsidR="00DB3519" w:rsidRDefault="00DB3519" w:rsidP="00DB3519">
      <w:pPr>
        <w:spacing w:before="120" w:after="0"/>
        <w:rPr>
          <w:rFonts w:ascii="Times New Roman" w:hAnsi="Times New Roman" w:cs="Times New Roman"/>
          <w:sz w:val="24"/>
          <w:szCs w:val="24"/>
        </w:rPr>
      </w:pPr>
      <w:r>
        <w:rPr>
          <w:rFonts w:ascii="Times New Roman" w:hAnsi="Times New Roman" w:cs="Times New Roman"/>
          <w:sz w:val="24"/>
          <w:szCs w:val="24"/>
        </w:rPr>
        <w:t>b) Le respect à tout moment des limites internes mentionnées à l'article DEL 333-17 ;</w:t>
      </w:r>
    </w:p>
    <w:p w14:paraId="25DEE89A" w14:textId="77777777" w:rsidR="00DB3519" w:rsidRDefault="00DB3519" w:rsidP="00DB3519">
      <w:pPr>
        <w:spacing w:before="120" w:after="0"/>
        <w:rPr>
          <w:rFonts w:ascii="Times New Roman" w:hAnsi="Times New Roman" w:cs="Times New Roman"/>
          <w:sz w:val="24"/>
          <w:szCs w:val="24"/>
        </w:rPr>
      </w:pPr>
      <w:r>
        <w:rPr>
          <w:rFonts w:ascii="Times New Roman" w:hAnsi="Times New Roman" w:cs="Times New Roman"/>
          <w:sz w:val="24"/>
          <w:szCs w:val="24"/>
        </w:rPr>
        <w:t>c) Le contrôle à tout moment du respect par les gestionnaires de ces limites et des procédures internes nécessaires à l'accomplissement des dispositions du présent article.</w:t>
      </w:r>
    </w:p>
    <w:p w14:paraId="738E2958" w14:textId="50A6D5F7" w:rsidR="00DB3519" w:rsidRPr="00E572B9" w:rsidRDefault="00DB3519" w:rsidP="00E572B9">
      <w:pPr>
        <w:spacing w:before="240" w:after="0"/>
        <w:jc w:val="both"/>
        <w:rPr>
          <w:rFonts w:ascii="Times New Roman" w:hAnsi="Times New Roman" w:cs="Times New Roman"/>
          <w:sz w:val="24"/>
          <w:szCs w:val="24"/>
        </w:rPr>
      </w:pPr>
      <w:r>
        <w:rPr>
          <w:rFonts w:ascii="Times New Roman" w:hAnsi="Times New Roman" w:cs="Times New Roman"/>
          <w:b/>
          <w:sz w:val="24"/>
          <w:szCs w:val="24"/>
        </w:rPr>
        <w:t xml:space="preserve">Article DEL 323-20 </w:t>
      </w:r>
      <w:r w:rsidR="00E572B9" w:rsidRPr="00E1061D">
        <w:rPr>
          <w:rFonts w:ascii="Times New Roman" w:hAnsi="Times New Roman" w:cs="Times New Roman"/>
          <w:sz w:val="24"/>
          <w:szCs w:val="24"/>
        </w:rPr>
        <w:t>(rédaction issue de Délibération n° 2025-94 APF du 27 août 2025)</w:t>
      </w:r>
    </w:p>
    <w:p w14:paraId="2FD50729"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 conseil d'administration ou de surveillance délibère sur les lignes directrices de la politique de réassurance en s’appuyant sur le rapport de solvabilité mentionné à l'article DEL 323-15 qui, dans une partie distincte relative à la réassurance, décrit : </w:t>
      </w:r>
    </w:p>
    <w:p w14:paraId="1A8082D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a) Les orientations prises par l'entreprise en matière de cessions en réassurance, en particulier en ce qui concerne la nature et le niveau de protection visé et le choix des entreprises cessionnaires ; </w:t>
      </w:r>
    </w:p>
    <w:p w14:paraId="4F284EDE"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b) Les critères qualitatifs et quantitatifs sur lesquels l'entreprise se fonde pour s'assurer de l'adéquation de ses cessions en réassurance avec les risques souscrits ;</w:t>
      </w:r>
    </w:p>
    <w:p w14:paraId="58666F8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c) Les orientations de la politique de réassurance concernant les risques souscrits au cours de l'exercice suivant le dernier exercice clos ainsi que les principales cessions de réassurance ;</w:t>
      </w:r>
    </w:p>
    <w:p w14:paraId="6CD1F99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d) L'organisation concernant la définition, la mise en œuvre et le contrôle du programme de réassurance ; </w:t>
      </w:r>
    </w:p>
    <w:p w14:paraId="4E61FF3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e) Les méthodes d'analyse et de suivi qu'utilise l'entreprise en ce qui concerne le risque de contrepartie lié à ses opérations de cessions en réassurance ainsi que les conclusions résultant de l'emploi de ces méthodes.</w:t>
      </w:r>
    </w:p>
    <w:p w14:paraId="20897CBC" w14:textId="77777777" w:rsidR="00DB3519" w:rsidRDefault="00DB3519" w:rsidP="00DB3519">
      <w:pPr>
        <w:spacing w:before="120" w:after="0"/>
        <w:jc w:val="both"/>
        <w:rPr>
          <w:rFonts w:ascii="Times New Roman" w:hAnsi="Times New Roman" w:cs="Times New Roman"/>
          <w:sz w:val="24"/>
          <w:szCs w:val="24"/>
        </w:rPr>
      </w:pPr>
    </w:p>
    <w:p w14:paraId="55830D44" w14:textId="2B6B36A1"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t xml:space="preserve">Section III – Régime prudentiel renforcé </w:t>
      </w:r>
    </w:p>
    <w:p w14:paraId="4B1B866B" w14:textId="1D8E2B66" w:rsidR="00E572B9" w:rsidRPr="004233F3" w:rsidRDefault="00E572B9" w:rsidP="004233F3">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1FA0C2CC" w14:textId="04E44EF6" w:rsidR="00DB3519" w:rsidRDefault="00DB3519" w:rsidP="00DB3519">
      <w:pPr>
        <w:spacing w:before="120" w:after="0"/>
        <w:jc w:val="center"/>
        <w:rPr>
          <w:rFonts w:ascii="Times New Roman" w:hAnsi="Times New Roman" w:cs="Times New Roman"/>
          <w:b/>
          <w:sz w:val="24"/>
          <w:szCs w:val="24"/>
        </w:rPr>
      </w:pPr>
      <w:r>
        <w:rPr>
          <w:rFonts w:ascii="Times New Roman" w:hAnsi="Times New Roman" w:cs="Times New Roman"/>
          <w:b/>
          <w:sz w:val="24"/>
          <w:szCs w:val="24"/>
        </w:rPr>
        <w:t xml:space="preserve">Sous-section I – </w:t>
      </w:r>
      <w:bookmarkStart w:id="8" w:name="_Hlk186204289"/>
      <w:r>
        <w:rPr>
          <w:rFonts w:ascii="Times New Roman" w:hAnsi="Times New Roman" w:cs="Times New Roman"/>
          <w:b/>
          <w:sz w:val="24"/>
          <w:szCs w:val="24"/>
        </w:rPr>
        <w:t>Valorisation des actifs et passifs prudentiels</w:t>
      </w:r>
      <w:bookmarkEnd w:id="8"/>
    </w:p>
    <w:p w14:paraId="45B5F4EE" w14:textId="41CDE205" w:rsidR="00E572B9" w:rsidRPr="00506C80" w:rsidRDefault="00E572B9"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755DBE75" w14:textId="1ED7B649" w:rsidR="00DB3519" w:rsidRPr="00E572B9" w:rsidRDefault="00DB3519" w:rsidP="00E572B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323-21</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2860911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entreprises mentionnées à l’article DEL 323-3 valorisent leurs actifs et leurs passifs prudentiels comme suit :</w:t>
      </w:r>
    </w:p>
    <w:p w14:paraId="1BAB835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1° Les actifs prudentiels sont valorisés au montant pour lequel ils pourraient être échangés dans le cadre d'une transaction conclue, dans des conditions de concurrence normales, entre des parties informées et consentantes ;</w:t>
      </w:r>
    </w:p>
    <w:p w14:paraId="1DDB565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2° Les passifs prudentiels sont valorisés au montant pour lequel ils pourraient être transférés ou réglés dans le cadre d'une transaction conclue, dans des conditions de concurrence normales, entre des parties informées et consentantes. Lors de la valorisation de ces passifs prudentiels, aucun ajustement visant à tenir compte de la qualité de crédit propre à l'entreprise n'est effectué.</w:t>
      </w:r>
    </w:p>
    <w:p w14:paraId="028CDD85"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Un arrêté pris en conseil des ministres précise les méthodes et hypothèses de valorisation à utiliser pour l'application du présent article.</w:t>
      </w:r>
    </w:p>
    <w:p w14:paraId="711ADF7A" w14:textId="5E3C9A09" w:rsidR="00DB3519" w:rsidRPr="00E572B9" w:rsidRDefault="00DB3519" w:rsidP="00E572B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323-22</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2EFC32F3"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entreprises mentionnées à l’article DEL 323-3 établissent des provisions techniques prudentielles pour tous leurs engagements vis-à-vis des assurés, des bénéficiaires de contrats et des entreprises réassurées.</w:t>
      </w:r>
    </w:p>
    <w:p w14:paraId="1C3B66C7"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La valeur des provisions techniques prudentielles, évaluée conformément à l'article DEL 323- 21, correspond au montant actuel que les entreprises devraient payer si elles transféraient immédiatement leurs engagements à une autre entité agréée pour pratiquer des opérations d'assurance.</w:t>
      </w:r>
    </w:p>
    <w:p w14:paraId="2DE2933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lastRenderedPageBreak/>
        <w:t>Le calcul des provisions techniques prudentielles utilise les informations fournies par les marchés financiers et les données généralement disponibles sur les risques de souscription, en cohérence avec ces informations et données.</w:t>
      </w:r>
    </w:p>
    <w:p w14:paraId="68379F2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provisions techniques prudentielles sont calculées d'une manière prudente, fiable et objective. Ce calcul peut comporter un ajustement égalisateur ou une correction pour volatilité.</w:t>
      </w:r>
    </w:p>
    <w:p w14:paraId="38E11E51" w14:textId="2B630B82" w:rsidR="00DB3519" w:rsidRPr="00E572B9" w:rsidRDefault="00DB3519" w:rsidP="00E572B9">
      <w:pPr>
        <w:spacing w:before="240" w:after="0"/>
        <w:jc w:val="both"/>
        <w:rPr>
          <w:rFonts w:ascii="Times New Roman" w:hAnsi="Times New Roman" w:cs="Times New Roman"/>
          <w:sz w:val="24"/>
          <w:szCs w:val="24"/>
        </w:rPr>
      </w:pPr>
      <w:r>
        <w:rPr>
          <w:rFonts w:ascii="Times New Roman" w:hAnsi="Times New Roman" w:cs="Times New Roman"/>
          <w:b/>
          <w:sz w:val="24"/>
          <w:szCs w:val="24"/>
        </w:rPr>
        <w:t>Article DEL 323-23</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2F54D50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I.- La valeur des provisions techniques prudentielles, mentionnées à l'article DEL 323-22, est égale à la somme de la meilleure estimation et de la marge de risque.</w:t>
      </w:r>
    </w:p>
    <w:p w14:paraId="647D51F2" w14:textId="77777777" w:rsidR="00DB3519" w:rsidRDefault="00DB3519" w:rsidP="00DB3519">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II.- La meilleure estimation correspond à la moyenne pondérée par leur probabilité des flux de trésorerie futurs compte tenu de la valeur temporelle de l'argent estimée sur la base de la courbe des taux sans risque pertinente, soit la valeur actuelle attendue des flux de trésorerie futurs. </w:t>
      </w:r>
    </w:p>
    <w:p w14:paraId="36BD9A0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 calcul de la meilleure estimation est fondé sur des informations actualisées et crédibles et des hypothèses réalistes et fait appel à des méthodes actuarielles et statistiques adéquates, applicables et pertinentes. </w:t>
      </w:r>
    </w:p>
    <w:p w14:paraId="22CB456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La projection en matière de flux de trésorerie utilisée dans le calcul de la meilleure estimation tient compte de toutes les entrées et sorties de trésorerie nécessaires pour faire face aux engagements d'assurance et de réassurance, pendant toute la durée de ceux-ci. </w:t>
      </w:r>
    </w:p>
    <w:p w14:paraId="6B325D1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La meilleure estimation est calculée brute, sans déduction des créances découlant des contrats de réassurance et des véhicules de titrisation. Le montant de ces créances est calculé séparément. </w:t>
      </w:r>
    </w:p>
    <w:p w14:paraId="062AA2BD"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L'ensemble des contrats qui donnent naissance aux engagements précités à prendre en compte est défini à l'article 17 du règlement délégué (UE) n° 2015/35 de la Commission du 10 octobre 2014 dans sa version en vigueur au 1</w:t>
      </w:r>
      <w:r w:rsidRPr="0011633E">
        <w:rPr>
          <w:rFonts w:ascii="Times New Roman" w:hAnsi="Times New Roman" w:cs="Times New Roman"/>
          <w:sz w:val="24"/>
          <w:szCs w:val="24"/>
          <w:vertAlign w:val="superscript"/>
        </w:rPr>
        <w:t>er</w:t>
      </w:r>
      <w:r>
        <w:rPr>
          <w:rFonts w:ascii="Times New Roman" w:hAnsi="Times New Roman" w:cs="Times New Roman"/>
          <w:sz w:val="24"/>
          <w:szCs w:val="24"/>
        </w:rPr>
        <w:t> janvier 2026. Les frontières de ces contrats sont définies à l'article 18 du même règlement.</w:t>
      </w:r>
    </w:p>
    <w:p w14:paraId="2CB1DC8A"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Les exigences relatives à la qualité des données et aux conditions dans lesquelles des approximations sont autorisées sont définies aux articles 19 à 21 du même règlement. </w:t>
      </w:r>
    </w:p>
    <w:p w14:paraId="3E66769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Les hypothèses à utiliser pour le calcul des provisions techniques prudentielles sont définies aux articles 22 à 26 du même règlement. </w:t>
      </w:r>
    </w:p>
    <w:p w14:paraId="7BE08499"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Les modalités de projections des flux de trésorerie sont définies aux articles 28 à 36 du même règlement. </w:t>
      </w:r>
    </w:p>
    <w:p w14:paraId="6F4BEA8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La courbe des taux sans risques pertinente est définie aux articles 43 à 61 du même règlement.</w:t>
      </w:r>
    </w:p>
    <w:p w14:paraId="4E71FE8F" w14:textId="77777777" w:rsidR="00DB3519" w:rsidRDefault="00DB3519" w:rsidP="00DB3519">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III.- La marge de risque est calculée de manière à garantir que la valeur des provisions techniques prudentielles mentionnées à l'article DEL 323-22 est équivalente au montant qu'une entreprise agréée pour pratiquer les opérations d'assurance demanderait pour reprendre et honorer les engagements d'assurance et de réassurance. </w:t>
      </w:r>
    </w:p>
    <w:p w14:paraId="063F9DFA" w14:textId="77777777" w:rsidR="00DB3519" w:rsidRDefault="00DB3519" w:rsidP="00DB3519">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IV.- Les entreprises d'assurance procèdent à une évaluation séparée de la meilleure estimation et de la marge de risque. </w:t>
      </w:r>
    </w:p>
    <w:p w14:paraId="519C341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Cependant, lorsque de futurs flux de trésorerie liés aux engagements d'assurance et de réassurance peuvent être, de manière fiable, répliqués au moyen d'instruments financiers pour lesquels il existe une valeur de marché fiable observable, la valeur des provisions techniques prudentielles mentionnées à l'article DEL 323-22, liées à ces futurs flux de trésorerie, est déterminée à l'aide de la valeur de marché de ces instruments financiers. Dans ce cas, il n'est pas nécessaire de procéder à un calcul séparé de la meilleure estimation et de la marge de risque. </w:t>
      </w:r>
    </w:p>
    <w:p w14:paraId="70885ADB"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L'article 40 du règlement délégué (UE) n° 2015/35 de la Commission du 10 octobre 2014 dans sa version en vigueur au 1</w:t>
      </w:r>
      <w:r w:rsidRPr="0011633E">
        <w:rPr>
          <w:rFonts w:ascii="Times New Roman" w:hAnsi="Times New Roman" w:cs="Times New Roman"/>
          <w:sz w:val="24"/>
          <w:szCs w:val="24"/>
          <w:vertAlign w:val="superscript"/>
        </w:rPr>
        <w:t>er</w:t>
      </w:r>
      <w:r>
        <w:rPr>
          <w:rFonts w:ascii="Times New Roman" w:hAnsi="Times New Roman" w:cs="Times New Roman"/>
          <w:sz w:val="24"/>
          <w:szCs w:val="24"/>
        </w:rPr>
        <w:t xml:space="preserve"> janvier 2026 précise les circonstances dans lesquelles un calcul séparé de la meilleure estimation et de la marge de risque n'est pas nécessaire. </w:t>
      </w:r>
    </w:p>
    <w:p w14:paraId="3A127C58"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Lorsqu'elles procèdent à une évaluation séparée de la meilleure estimation et de la marge de risque, les entreprises d'assurance et de réassurance calculent la marge de risque en déterminant le coût que représente la mobilisation d'un montant de fonds propres éligibles égal au capital de solvabilité requis nécessaire pour faire face à leurs engagements pendant toute la durée de ceux-ci. Pour cette évaluation de la marge de risque, le capital de solvabilité requis n'inclut pas les exigences de capital supplémentaire décidées le cas échéant par la Polynésie française en application de l'article DEL 323-29. </w:t>
      </w:r>
    </w:p>
    <w:p w14:paraId="72390E50"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 taux du coût du capital est le taux utilisé pour déterminer le coût que représente la mobilisation de ce montant de fonds propres éligibles. Ce taux est le même pour toutes les entreprises d'assurance et est révisé périodiquement. </w:t>
      </w:r>
    </w:p>
    <w:p w14:paraId="11E704CF"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 taux du coût du capital utilisé est égal au taux supplémentaire, s'ajoutant au taux d'intérêt sans risque pertinent, que supporterait une entreprise détenant un montant de fonds propres éligibles, mentionnés à l'article DEL 323-24, égal au capital de solvabilité requis qui est nécessaire pour faire face aux engagements d'assurance et de réassurance pendant toute la durée de ceux-ci. </w:t>
      </w:r>
    </w:p>
    <w:p w14:paraId="66B0227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 taux du coût du capital est fixé à l'article 39 du règlement délégué (UE) n° 2015/35 de la Commission du 10 octobre 2014 dans sa version en vigueur au 1</w:t>
      </w:r>
      <w:r w:rsidRPr="0011633E">
        <w:rPr>
          <w:rFonts w:ascii="Times New Roman" w:hAnsi="Times New Roman" w:cs="Times New Roman"/>
          <w:sz w:val="24"/>
          <w:szCs w:val="24"/>
          <w:vertAlign w:val="superscript"/>
        </w:rPr>
        <w:t>er</w:t>
      </w:r>
      <w:r>
        <w:rPr>
          <w:rFonts w:ascii="Times New Roman" w:hAnsi="Times New Roman" w:cs="Times New Roman"/>
          <w:sz w:val="24"/>
          <w:szCs w:val="24"/>
        </w:rPr>
        <w:t xml:space="preserve"> janvier 2026. </w:t>
      </w:r>
    </w:p>
    <w:p w14:paraId="0E27CC1C"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Les modalités de calcul de la marge de risque sont définies aux articles 37 et 38 du même règlement. </w:t>
      </w:r>
    </w:p>
    <w:p w14:paraId="27CE1894" w14:textId="77777777" w:rsidR="00DB3519" w:rsidRDefault="00DB3519" w:rsidP="00DB3519">
      <w:pPr>
        <w:spacing w:before="120" w:after="0"/>
        <w:jc w:val="both"/>
        <w:rPr>
          <w:rFonts w:ascii="Times New Roman" w:hAnsi="Times New Roman" w:cs="Times New Roman"/>
          <w:sz w:val="24"/>
          <w:szCs w:val="24"/>
        </w:rPr>
      </w:pPr>
      <w:r>
        <w:rPr>
          <w:rFonts w:ascii="Times New Roman" w:hAnsi="Times New Roman" w:cs="Times New Roman"/>
          <w:sz w:val="24"/>
          <w:szCs w:val="24"/>
        </w:rPr>
        <w:t>Les méthodes de simplification pour le calcul des provisions techniques prudentielles, de la marge de risque ainsi que les conditions préalables à leur utilisation sont définies aux articles 56 à 61 du même règlement.</w:t>
      </w:r>
    </w:p>
    <w:p w14:paraId="7DB03041" w14:textId="11BD5604" w:rsidR="00DB351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t>Sous-section II – Marge de solvabilité</w:t>
      </w:r>
    </w:p>
    <w:p w14:paraId="27999E7D" w14:textId="0905E279" w:rsidR="00E572B9" w:rsidRPr="00506C80" w:rsidRDefault="00E572B9"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6B3825B9" w14:textId="22501050"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323-24</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584DFD14" w14:textId="5354FEB8" w:rsidR="00E572B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La marge de solvabilité des entreprises mentionnées à l’article DEL 323-3 est constituée des fonds propres prudentiels correspondant à la somme des fonds propres de base et des fonds propres auxiliaires déterminés selon les modalités fixées aux articles suivants.</w:t>
      </w:r>
    </w:p>
    <w:p w14:paraId="3D0106BA" w14:textId="42F2C6C0"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323-25</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6B6BDC8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fonds propres de base mentionnés à l'article DEL 323-24 se composent des éléments suivants :</w:t>
      </w:r>
    </w:p>
    <w:p w14:paraId="23F8AB9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lastRenderedPageBreak/>
        <w:t>1° L'excédent des actifs par rapport aux passifs prudentiels, évalués conformément aux sections 1 et 2 du présent chapitre ;</w:t>
      </w:r>
    </w:p>
    <w:p w14:paraId="15DAC93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2° Les passifs subordonnés.</w:t>
      </w:r>
    </w:p>
    <w:p w14:paraId="05673B2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L'excédent mentionné au 1° est diminué du montant de ses propres actions que l'entreprise d'assurance détient.</w:t>
      </w:r>
    </w:p>
    <w:p w14:paraId="6453E7CE" w14:textId="594C8AC6"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323-26</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01F0B7F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fonds propres auxiliaires mentionnés à l'article DEL 323-24 sont constitués d'éléments, autres que les fonds propres de base, qui peuvent être appelés pour absorber des pertes.</w:t>
      </w:r>
    </w:p>
    <w:p w14:paraId="0ACEF27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Les fonds propres auxiliaires peuvent inclure les éléments suivants, dans la mesure où il ne s'agit pas d'éléments de fonds propres : </w:t>
      </w:r>
    </w:p>
    <w:p w14:paraId="4038E114"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a)</w:t>
      </w:r>
      <w:r w:rsidRPr="00DB3519">
        <w:rPr>
          <w:rFonts w:ascii="Times New Roman" w:hAnsi="Times New Roman" w:cs="Times New Roman"/>
          <w:sz w:val="24"/>
          <w:szCs w:val="24"/>
        </w:rPr>
        <w:tab/>
        <w:t>La fraction non versée du capital social ou le fonds initial qui n'a pas été appelé ;</w:t>
      </w:r>
    </w:p>
    <w:p w14:paraId="611F93E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b)</w:t>
      </w:r>
      <w:r w:rsidRPr="00DB3519">
        <w:rPr>
          <w:rFonts w:ascii="Times New Roman" w:hAnsi="Times New Roman" w:cs="Times New Roman"/>
          <w:sz w:val="24"/>
          <w:szCs w:val="24"/>
        </w:rPr>
        <w:tab/>
        <w:t>Les lettres de crédit et les garanties ;</w:t>
      </w:r>
    </w:p>
    <w:p w14:paraId="137AA339"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w:t>
      </w:r>
      <w:r w:rsidRPr="00DB3519">
        <w:rPr>
          <w:rFonts w:ascii="Times New Roman" w:hAnsi="Times New Roman" w:cs="Times New Roman"/>
          <w:sz w:val="24"/>
          <w:szCs w:val="24"/>
        </w:rPr>
        <w:tab/>
        <w:t>Tout autre engagement, juridiquement contraignant, reçu par les entreprises d'assurance et de réassurance.</w:t>
      </w:r>
    </w:p>
    <w:p w14:paraId="62D4770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Lorsqu'un élément des fonds propres auxiliaires a été payé ou appelé, il est assimilé à un actif prudentiel au sens de l'article DEL 323-21 et cesse de faire partie des fonds propres auxiliaires.</w:t>
      </w:r>
    </w:p>
    <w:p w14:paraId="0BE83A84" w14:textId="77777777" w:rsidR="00DB3519" w:rsidRPr="00506C80" w:rsidRDefault="00DB3519" w:rsidP="00DB3519">
      <w:pPr>
        <w:spacing w:before="120" w:after="0"/>
        <w:jc w:val="both"/>
        <w:rPr>
          <w:rFonts w:ascii="Times New Roman" w:hAnsi="Times New Roman" w:cs="Times New Roman"/>
          <w:b/>
          <w:sz w:val="24"/>
          <w:szCs w:val="24"/>
        </w:rPr>
      </w:pPr>
      <w:r w:rsidRPr="00506C80">
        <w:rPr>
          <w:rFonts w:ascii="Times New Roman" w:hAnsi="Times New Roman" w:cs="Times New Roman"/>
          <w:b/>
          <w:sz w:val="24"/>
          <w:szCs w:val="24"/>
        </w:rPr>
        <w:t>Article DEL 323-27</w:t>
      </w:r>
    </w:p>
    <w:p w14:paraId="6719990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montants des éléments des fonds propres auxiliaires à prendre en considération pour déterminer les fonds propres prudentiels au sens de l'article DEL 323-24 sont soumis à l'approbation préalable du Président de la Polynésie française.</w:t>
      </w:r>
    </w:p>
    <w:p w14:paraId="5C11129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montant attribué à chaque élément de fonds propres auxiliaires reflète la capacité d'absorption des pertes de l'élément concerné et est fondé sur des hypothèses prudentes et réalistes. Lorsqu'une valeur nominale fixe est attachée à un élément de fonds propres auxiliaires, le montant de cet élément est égal à sa valeur nominale, pourvu que celle-ci reflète convenablement sa capacité d'absorption des pertes.</w:t>
      </w:r>
    </w:p>
    <w:p w14:paraId="1602EB4C" w14:textId="2197C6AA"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323-28</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09097E2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La marge de solvabilité des entreprises mentionnées à l’article DEL 323-3 doit être supérieure au capital de solvabilité requis calculé comme suit :</w:t>
      </w:r>
    </w:p>
    <w:p w14:paraId="4C3A6DB2" w14:textId="4BC689C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1° Ce calcul se fonde sur l'hypothèse d'une continuité de l'exploitation de l'entreprise concernée</w:t>
      </w:r>
      <w:r w:rsidR="00E572B9">
        <w:rPr>
          <w:rFonts w:ascii="Times New Roman" w:hAnsi="Times New Roman" w:cs="Times New Roman"/>
          <w:sz w:val="24"/>
          <w:szCs w:val="24"/>
        </w:rPr>
        <w:t> </w:t>
      </w:r>
      <w:r w:rsidRPr="00DB3519">
        <w:rPr>
          <w:rFonts w:ascii="Times New Roman" w:hAnsi="Times New Roman" w:cs="Times New Roman"/>
          <w:sz w:val="24"/>
          <w:szCs w:val="24"/>
        </w:rPr>
        <w:t>;</w:t>
      </w:r>
    </w:p>
    <w:p w14:paraId="788F2E5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2° Le capital de solvabilité requis est calibré de manière à garantir que tous les risques quantifiables auxquels l'entreprise d'assurance ou de réassurance est exposée soient pris en considération. Il couvre le portefeuille en cours, ainsi que le nouveau portefeuille dont la souscription est attendue dans les douze mois à venir. Pour ce qui concerne le portefeuille en cours, il couvre seulement les pertes non anticipées.</w:t>
      </w:r>
    </w:p>
    <w:p w14:paraId="27F18FE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capital de solvabilité requis correspond à la valeur en risque des fonds propres de base de l'entreprise d'assurance ou de réassurance, avec un niveau de confiance de 99,5 % à l'horizon d'un an ;</w:t>
      </w:r>
    </w:p>
    <w:p w14:paraId="792B6C8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lastRenderedPageBreak/>
        <w:t>3° Le capital de solvabilité requis couvre au minimum les risques suivants :</w:t>
      </w:r>
    </w:p>
    <w:p w14:paraId="11EEA945"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a)</w:t>
      </w:r>
      <w:r w:rsidRPr="00DB3519">
        <w:rPr>
          <w:rFonts w:ascii="Times New Roman" w:hAnsi="Times New Roman" w:cs="Times New Roman"/>
          <w:sz w:val="24"/>
          <w:szCs w:val="24"/>
        </w:rPr>
        <w:tab/>
        <w:t>Le risque de souscription en non-vie ;</w:t>
      </w:r>
    </w:p>
    <w:p w14:paraId="0BE0813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b)</w:t>
      </w:r>
      <w:r w:rsidRPr="00DB3519">
        <w:rPr>
          <w:rFonts w:ascii="Times New Roman" w:hAnsi="Times New Roman" w:cs="Times New Roman"/>
          <w:sz w:val="24"/>
          <w:szCs w:val="24"/>
        </w:rPr>
        <w:tab/>
        <w:t>Le risque de souscription en vie ;</w:t>
      </w:r>
    </w:p>
    <w:p w14:paraId="3ECA5AA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w:t>
      </w:r>
      <w:r w:rsidRPr="00DB3519">
        <w:rPr>
          <w:rFonts w:ascii="Times New Roman" w:hAnsi="Times New Roman" w:cs="Times New Roman"/>
          <w:sz w:val="24"/>
          <w:szCs w:val="24"/>
        </w:rPr>
        <w:tab/>
        <w:t>Le risque de souscription en santé ;</w:t>
      </w:r>
    </w:p>
    <w:p w14:paraId="74045E34"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d)</w:t>
      </w:r>
      <w:r w:rsidRPr="00DB3519">
        <w:rPr>
          <w:rFonts w:ascii="Times New Roman" w:hAnsi="Times New Roman" w:cs="Times New Roman"/>
          <w:sz w:val="24"/>
          <w:szCs w:val="24"/>
        </w:rPr>
        <w:tab/>
        <w:t>Le risque de marché ;</w:t>
      </w:r>
    </w:p>
    <w:p w14:paraId="669EF12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w:t>
      </w:r>
      <w:r w:rsidRPr="00DB3519">
        <w:rPr>
          <w:rFonts w:ascii="Times New Roman" w:hAnsi="Times New Roman" w:cs="Times New Roman"/>
          <w:sz w:val="24"/>
          <w:szCs w:val="24"/>
        </w:rPr>
        <w:tab/>
        <w:t>Le risque de crédit ;</w:t>
      </w:r>
    </w:p>
    <w:p w14:paraId="7A96D74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f)</w:t>
      </w:r>
      <w:r w:rsidRPr="00DB3519">
        <w:rPr>
          <w:rFonts w:ascii="Times New Roman" w:hAnsi="Times New Roman" w:cs="Times New Roman"/>
          <w:sz w:val="24"/>
          <w:szCs w:val="24"/>
        </w:rPr>
        <w:tab/>
        <w:t>Le risque opérationnel, qui comprend les risques juridiques, mais ne comprend ni les risques découlant des décisions stratégiques, ni les risques de réputation ;</w:t>
      </w:r>
    </w:p>
    <w:p w14:paraId="07CCFA9D"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4° Lorsqu'elles calculent leur capital de solvabilité requis, les entreprises d'assurance tiennent compte de l'impact des techniques d'atténuation des risques, sous réserve que le risque de crédit et les autres risques inhérents à l'emploi de ces techniques soient pris en considération de manière adéquate dans le capital de solvabilité requis.</w:t>
      </w:r>
    </w:p>
    <w:p w14:paraId="5DB7016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calcul est effectué selon la formule standard définie par le chapitre V du titre I du règlement délégué (UE) n° 2015/35 de la Commission du 10 octobre 2014 dans sa version en vigueur au 1er janvier 2026.</w:t>
      </w:r>
    </w:p>
    <w:p w14:paraId="50BE6267" w14:textId="53A349B8"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323-29</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32D1DEE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I.</w:t>
      </w:r>
      <w:r w:rsidRPr="00DB3519">
        <w:rPr>
          <w:rFonts w:ascii="Times New Roman" w:hAnsi="Times New Roman" w:cs="Times New Roman"/>
          <w:sz w:val="24"/>
          <w:szCs w:val="24"/>
        </w:rPr>
        <w:tab/>
        <w:t>- Le Président de la Polynésie française peut, par décision motivée, imposer aux entreprises d'assurance une exigence de capital supplémentaire dans l'une des circonstances exceptionnelles suivantes, lorsqu'elle conclut de son processus de contrôle que :</w:t>
      </w:r>
    </w:p>
    <w:p w14:paraId="3861742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1° Le profil de risque de l'entreprise s'écarte significativement des hypothèses qui sous- tendent le calcul du capital de solvabilité requis selon la formule standard mentionnée à l'article DEL 323-28 ;</w:t>
      </w:r>
    </w:p>
    <w:p w14:paraId="0DB1B80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2° Le système de gouvernance de l'entreprise s'écartant significativement des normes prévues aux articles DEL 323-34 à DEL 323-37, l'entreprise n'est pas de ce fait en mesure de déceler, de mesurer, de contrôler, de gérer et de déclarer de manière adéquate les risques auxquels elle est ou pourrait être exposée et que l'application d'autres mesures n'est pas susceptible de remédier rapidement et suffisamment aux carences constatées ;</w:t>
      </w:r>
    </w:p>
    <w:p w14:paraId="75EE102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3° Le profil de risque d'une entreprise d'assurance appliquant l'ajustement égalisateur ou la correction pour volatilité mentionnés à l'article DEL 323-22, s'écarte de façon significative des hypothèses sous-tendant ces ajustements et corrections.</w:t>
      </w:r>
    </w:p>
    <w:p w14:paraId="48ED9A2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capital de solvabilité requis, majoré de l'exigence de capital supplémentaire imposée, remplace le capital de solvabilité requis devenu inadéquat.</w:t>
      </w:r>
    </w:p>
    <w:p w14:paraId="700A0986" w14:textId="65253FD5" w:rsidR="00E572B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II.</w:t>
      </w:r>
      <w:r w:rsidRPr="00DB3519">
        <w:rPr>
          <w:rFonts w:ascii="Times New Roman" w:hAnsi="Times New Roman" w:cs="Times New Roman"/>
          <w:sz w:val="24"/>
          <w:szCs w:val="24"/>
        </w:rPr>
        <w:tab/>
        <w:t>- Les décisions prises par le Président de la Polynésie française en vertu du I font l'objet de la procédure contradictoire prévue à l'article LP 322-12.</w:t>
      </w:r>
    </w:p>
    <w:p w14:paraId="7191309A" w14:textId="05570107"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323-30</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6A026C2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d'assurance mentionnées à l’article DEL 323-3 détiennent des fonds propres de base éligibles couvrant le minimum de capital requis, égal au minimum absolu de marge de solvabilité déterminé conformément à l’article DEL 323-11.</w:t>
      </w:r>
    </w:p>
    <w:p w14:paraId="79FCA0EF" w14:textId="11EC8C69" w:rsidR="00DB3519" w:rsidRPr="00DB351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lastRenderedPageBreak/>
        <w:t>Article DEL 323-31</w:t>
      </w:r>
      <w:r w:rsidR="00E572B9">
        <w:rPr>
          <w:rFonts w:ascii="Times New Roman" w:hAnsi="Times New Roman" w:cs="Times New Roman"/>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6BB6DF9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Lorsque les entreprises mentionnées à l’article DEL 323-3 ne détiennent plus suffisamment de fonds propres éligibles pour couvrir leur capital de solvabilité requis ou leur minimum de capital requis, les distributions relatives à certains éléments de fonds propres font l'objet de limitations sur décision du Président de la Polynésie française. Ces limitations consistent, selon l'élément de fonds propres concerné, soit en une interdiction, soit en un report de ces distributions. Elles s'appliquent également au cas où la non-couverture du capital de solvabilité requis ou du minimum de capital requis serait causée par ces distributions.</w:t>
      </w:r>
    </w:p>
    <w:p w14:paraId="119255AA" w14:textId="0B08DAB4"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Est réputée non écrite toute stipulation prévoyant que le non-paiement des distributions, résultant notamment de l'application des limitations mentionnées au premier alinéa, est considéré comme un événement de défaut.</w:t>
      </w:r>
    </w:p>
    <w:p w14:paraId="35ED1D25" w14:textId="7223AE56" w:rsidR="004233F3" w:rsidRDefault="004233F3">
      <w:pPr>
        <w:rPr>
          <w:rFonts w:ascii="Times New Roman" w:hAnsi="Times New Roman" w:cs="Times New Roman"/>
          <w:sz w:val="24"/>
          <w:szCs w:val="24"/>
        </w:rPr>
      </w:pPr>
      <w:r>
        <w:rPr>
          <w:rFonts w:ascii="Times New Roman" w:hAnsi="Times New Roman" w:cs="Times New Roman"/>
          <w:sz w:val="24"/>
          <w:szCs w:val="24"/>
        </w:rPr>
        <w:br w:type="page"/>
      </w:r>
    </w:p>
    <w:p w14:paraId="5DE4019E" w14:textId="77777777" w:rsidR="00DB3519" w:rsidRPr="00DB3519" w:rsidRDefault="00DB3519" w:rsidP="00DB3519">
      <w:pPr>
        <w:spacing w:before="120" w:after="0"/>
        <w:jc w:val="both"/>
        <w:rPr>
          <w:rFonts w:ascii="Times New Roman" w:hAnsi="Times New Roman" w:cs="Times New Roman"/>
          <w:sz w:val="24"/>
          <w:szCs w:val="24"/>
        </w:rPr>
      </w:pPr>
    </w:p>
    <w:p w14:paraId="6483EBBB" w14:textId="3AD34986" w:rsidR="00DB351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t>Sous-section III – Placements</w:t>
      </w:r>
    </w:p>
    <w:p w14:paraId="56B8680E" w14:textId="3D1934BC" w:rsidR="00E572B9" w:rsidRPr="00506C80" w:rsidRDefault="00E572B9" w:rsidP="00506C80">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33F7563A" w14:textId="60AAF27E"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323-32</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32B3BB20" w14:textId="0EED0941"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d'assurance mentionnées à l’article DEL 323-3 investissent l'ensemble de leurs actifs conformément au principe de la « personne prudente » dans des conditions définies par le présent code.</w:t>
      </w:r>
    </w:p>
    <w:p w14:paraId="341E7C1D" w14:textId="54DC235E" w:rsidR="00DB3519" w:rsidRPr="00DB351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323-33</w:t>
      </w:r>
      <w:r w:rsidRPr="00DB3519">
        <w:rPr>
          <w:rFonts w:ascii="Times New Roman" w:hAnsi="Times New Roman" w:cs="Times New Roman"/>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108C34F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 I. - Pour l'ensemble du portefeuille d'actifs, les entreprises d'assurance n'investissent que dans des actifs et instruments présentant des risques qu'elles peuvent identifier, mesurer, suivre, gérer, contrôler et déclarer de manière adéquate ainsi que prendre en compte de manière appropriée dans l'évaluation de leur besoin global de solvabilité conformément à l'article DEL 323-37. </w:t>
      </w:r>
    </w:p>
    <w:p w14:paraId="6DD78AD7"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Tous les actifs sont investis de façon à garantir la sécurité, la qualité, la liquidité et la rentabilité de l'ensemble du portefeuille. En outre, la localisation de ces actifs doit permettre de garantir leur disponibilité. </w:t>
      </w:r>
    </w:p>
    <w:p w14:paraId="00F6480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Les actifs détenus aux fins de la couverture des provisions techniques prudentielles mentionnées à l'article DEL 323-22 sont également investis d'une façon adaptée à la nature et à la durée de leurs engagements d'assurance et de réassurance. Ces actifs sont investis au mieux des intérêts de tous les assurés, souscripteurs et bénéficiaires des contrats, compte tenu de tout objectif relatif à sa politique d'investissement publié par l'entreprise. </w:t>
      </w:r>
    </w:p>
    <w:p w14:paraId="0335FA0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En cas de conflit d'intérêts, les entreprises d'assurance ou les entités qui gèrent leur portefeuille d'actifs, veillent à ce que l'investissement soit réalisé au mieux des intérêts des assurés, souscripteurs et bénéficiaires des contrats. </w:t>
      </w:r>
    </w:p>
    <w:p w14:paraId="48C4BA7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II. - Lorsque les prestations afférentes au contrat d'assurance sur la vie ou au contrat de capitalisation à capital variable comprennent une garantie de performance financière ou toute autre prestation garantie, les actifs détenus pour couvrir les provisions techniques prudentielles mentionnées à l'article DEL 323-22 supplémentaires correspondantes sont soumis aux dispositions du III. </w:t>
      </w:r>
    </w:p>
    <w:p w14:paraId="3E31BB0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III. - Sans préjudice des dispositions du I, pour les actifs autres que ceux relevant du II, les deuxième à cinquième alinéas du présent III sont applicables. </w:t>
      </w:r>
    </w:p>
    <w:p w14:paraId="14E2018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L'utilisation d'instruments dérivés est possible dans la mesure où ils contribuent à réduire les risques ou favorisent une gestion efficace du portefeuille. </w:t>
      </w:r>
    </w:p>
    <w:p w14:paraId="3D621C3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Les investissements et les actifs qui ne sont pas admis à la négociation sur un marché financier réglementé sont maintenus à des niveaux prudents. </w:t>
      </w:r>
      <w:r w:rsidRPr="00DB3519">
        <w:rPr>
          <w:rFonts w:ascii="Times New Roman" w:hAnsi="Times New Roman" w:cs="Times New Roman"/>
          <w:sz w:val="24"/>
          <w:szCs w:val="24"/>
        </w:rPr>
        <w:tab/>
      </w:r>
    </w:p>
    <w:p w14:paraId="77E076D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Les actifs font l'objet d'une diversification appropriée de façon à éviter une dépendance excessive vis-à-vis d'un actif, d'un émetteur ou d'un groupe d'entreprises donnés ou d'une zone géographique donnée et à éviter un cumul excessif de risques dans l'ensemble du portefeuille. </w:t>
      </w:r>
    </w:p>
    <w:p w14:paraId="793B02C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lastRenderedPageBreak/>
        <w:t>Les investissements dans des actifs émis par un même émetteur ou par des émetteurs appartenant à un même groupe n'exposent pas les entreprises d'assurance à une concentration excessive de risques.</w:t>
      </w:r>
    </w:p>
    <w:p w14:paraId="67E7220D" w14:textId="77777777" w:rsidR="00DB3519" w:rsidRPr="00DB3519" w:rsidRDefault="00DB3519" w:rsidP="00DB3519">
      <w:pPr>
        <w:spacing w:before="120" w:after="0"/>
        <w:jc w:val="both"/>
        <w:rPr>
          <w:rFonts w:ascii="Times New Roman" w:hAnsi="Times New Roman" w:cs="Times New Roman"/>
          <w:sz w:val="24"/>
          <w:szCs w:val="24"/>
        </w:rPr>
      </w:pPr>
    </w:p>
    <w:p w14:paraId="291233C0" w14:textId="1C45C2CA" w:rsidR="00DB351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t>Sous-section IV – Gouvernance</w:t>
      </w:r>
    </w:p>
    <w:p w14:paraId="3B4E799A" w14:textId="0F1EE54A" w:rsidR="00E572B9" w:rsidRPr="004233F3" w:rsidRDefault="00E572B9" w:rsidP="004233F3">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3A581D39" w14:textId="59A24F84"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323-34</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6165F0B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d'assurance mettent en place un système de gouvernance garantissant une gestion saine et prudente de leur activité et faisant l'objet d'un réexamen interne régulier. Ce système de gouvernance repose sur une séparation claire des responsabilités et comprend un dispositif efficace de transmission des informations. Il est proportionné à la nature, à l'ampleur et à la complexité des opérations de l'entreprise.</w:t>
      </w:r>
    </w:p>
    <w:p w14:paraId="1ECFA01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Ce système de gouvernance comprend les fonctions clés suivantes : la fonction de gestion des risques, la fonction de vérification de la conformité, la fonction d'audit interne et la fonction actuarielle.</w:t>
      </w:r>
    </w:p>
    <w:p w14:paraId="1E3DCB35"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élaborent des politiques écrites relatives, au moins, à la gestion des risques, au contrôle interne, à l'audit interne et, le cas échéant, à l'externalisation. Elles veillent à ce que ces politiques soient mises en œuvre.</w:t>
      </w:r>
    </w:p>
    <w:p w14:paraId="43A967DA" w14:textId="69FCA41F" w:rsidR="00E572B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prennent des dispositions permettant d'assurer la continuité et la régularité dans l'exercice de leurs activités, ce qui inclut l'élaboration de plans d'urgence. Elles mettent en œuvre, à cette fin, des dispositifs, des ressources et des procédures appropriés et proportionnés.</w:t>
      </w:r>
    </w:p>
    <w:p w14:paraId="01451C22" w14:textId="77777777" w:rsidR="00506C80" w:rsidRDefault="00506C80" w:rsidP="00506C80">
      <w:pPr>
        <w:rPr>
          <w:rFonts w:ascii="Times New Roman" w:hAnsi="Times New Roman" w:cs="Times New Roman"/>
          <w:b/>
          <w:sz w:val="24"/>
          <w:szCs w:val="24"/>
        </w:rPr>
      </w:pPr>
    </w:p>
    <w:p w14:paraId="5501E77E" w14:textId="7BB59C96" w:rsidR="00DB3519" w:rsidRPr="00E572B9" w:rsidRDefault="00DB3519" w:rsidP="00506C80">
      <w:pPr>
        <w:rPr>
          <w:rFonts w:ascii="Times New Roman" w:hAnsi="Times New Roman" w:cs="Times New Roman"/>
          <w:sz w:val="24"/>
          <w:szCs w:val="24"/>
        </w:rPr>
      </w:pPr>
      <w:r w:rsidRPr="00E572B9">
        <w:rPr>
          <w:rFonts w:ascii="Times New Roman" w:hAnsi="Times New Roman" w:cs="Times New Roman"/>
          <w:b/>
          <w:sz w:val="24"/>
          <w:szCs w:val="24"/>
        </w:rPr>
        <w:t>Article DEL 323-35</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451AA9A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La direction effective des entreprises mentionnées à l’article DEL 323-3 est assurée par au moins deux personnes qui doivent satisfaire aux conditions prévues à l'article LP 331-3.</w:t>
      </w:r>
    </w:p>
    <w:p w14:paraId="2AEC816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Ces entreprises désignent en leur sein la personne responsable de chacune des fonctions clés mentionnées à l'article DEL 323-34. Placés sous l'autorité du directeur général ou du directoire selon les cas, ces responsables doivent posséder l’honorabilité, la compétence et l’expérience nécessaires à leurs fonctions et exercent leurs fonctions dans les conditions définies par l'entreprise.</w:t>
      </w:r>
    </w:p>
    <w:p w14:paraId="4E2D3CA9"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directeur général ou le directoire soumettent à l'approbation du conseil d'administration ou du conseil de surveillance des procédures définissant les conditions selon lesquelles les responsables de ces fonctions peuvent informer, directement et de leur propre initiative, le conseil d'administration ou le conseil de surveillance, lorsque surviennent des événements de nature à le justifier.</w:t>
      </w:r>
    </w:p>
    <w:p w14:paraId="387CFCF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 conseil d'administration ou le conseil de surveillance entend, directement et de sa propre initiative, chaque fois qu'il l'estime nécessaire et au moins une fois par an, les responsables des fonctions clés. Cette audition peut se dérouler hors la présence du directeur général ou du directoire si les membres du conseil d'administration ou du conseil de surveillance l'estiment </w:t>
      </w:r>
      <w:r w:rsidRPr="00DB3519">
        <w:rPr>
          <w:rFonts w:ascii="Times New Roman" w:hAnsi="Times New Roman" w:cs="Times New Roman"/>
          <w:sz w:val="24"/>
          <w:szCs w:val="24"/>
        </w:rPr>
        <w:lastRenderedPageBreak/>
        <w:t>nécessaire. Le conseil d'administration ou le conseil de surveillance peut renvoyer cette audition devant un comité spécialisé émanant de ce conseil.</w:t>
      </w:r>
    </w:p>
    <w:p w14:paraId="2E01FE0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La nomination et le renouvellement des personnes mentionnées aux deux premiers alinéas sont notifiés au Président de la Polynésie française.</w:t>
      </w:r>
    </w:p>
    <w:p w14:paraId="1D7A3785" w14:textId="15741E66" w:rsidR="00DB3519" w:rsidRPr="00DB351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323-36</w:t>
      </w:r>
      <w:r w:rsidR="00E572B9">
        <w:rPr>
          <w:rFonts w:ascii="Times New Roman" w:hAnsi="Times New Roman" w:cs="Times New Roman"/>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74B0A3E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mentionnées à l’article DEL 323-3 mettent en place un système de gestion des risques.</w:t>
      </w:r>
    </w:p>
    <w:p w14:paraId="378CFD2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Elles procèdent à une évaluation interne des risques et de la solvabilité.</w:t>
      </w:r>
    </w:p>
    <w:p w14:paraId="36D7D2F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Elles disposent d’un système de contrôle interne.</w:t>
      </w:r>
    </w:p>
    <w:p w14:paraId="10C486B4" w14:textId="712D2311" w:rsidR="00DB3519" w:rsidRPr="00DB351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323-37</w:t>
      </w:r>
      <w:r w:rsidR="00E572B9">
        <w:rPr>
          <w:rFonts w:ascii="Times New Roman" w:hAnsi="Times New Roman" w:cs="Times New Roman"/>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5E70535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d'assurance conservent l'entière responsabilité du respect des obligations qui leur incombent lorsqu'elles recourent à l'externalisation des fonctions ou des activités d'assurance.</w:t>
      </w:r>
    </w:p>
    <w:p w14:paraId="163B554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Elles s'abstiennent d'externaliser des activités ou des fonctions opérationnelles importantes ou critiques, lorsque cette externalisation serait susceptible de compromettre gravement la qualité du système de gouvernance de l'entreprise concernée, d'accroître indûment le risque opérationnel, de compromettre la capacité des autorités de contrôle à vérifier que l'entreprise concernée se conforme bien à ses obligations ou de nuire à la prestation continue d'un niveau de service satisfaisant à l'égard des assurés, souscripteurs et bénéficiaires de contrats et entreprises réassurées.</w:t>
      </w:r>
    </w:p>
    <w:p w14:paraId="7D426E1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d'assurance informent préalablement, et en temps utile, la Polynésie française de leur intention d'externaliser des activités ou des fonctions importantes ou critiques ainsi que de toute évolution importante ultérieure concernant ces fonctions ou ces activités.</w:t>
      </w:r>
    </w:p>
    <w:p w14:paraId="78871DA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d'assurance qui externalisent une fonction ou une activité d'assurance prennent les dispositions garantissant que le prestataire de services coopère avec la Polynésie française, dans l'exercice de la fonction ou l'activité externalisée, et que l'entreprise, les personnes chargées du contrôle de ses comptes ainsi que la Polynésie française puissent avoir effectivement accès aux données afférentes aux fonctions ou aux activités externalisées.</w:t>
      </w:r>
    </w:p>
    <w:p w14:paraId="7289AF0A" w14:textId="4ACDBAD2" w:rsidR="00DB3519" w:rsidRPr="00DB351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323-38</w:t>
      </w:r>
      <w:r w:rsidR="00E572B9">
        <w:rPr>
          <w:rFonts w:ascii="Times New Roman" w:hAnsi="Times New Roman" w:cs="Times New Roman"/>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270CF9F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Sans préjudice des autres obligations d'information leur incombant, les entreprises d'assurance publient annuellement un rapport sur leur solvabilité et leur situation financière. En cas d'événement majeur affectant significativement la pertinence des informations contenues dans ce rapport, les entreprises d'assurance publient des informations relatives à la nature et aux effets de cet événement.</w:t>
      </w:r>
    </w:p>
    <w:p w14:paraId="37DE186D" w14:textId="74C899C8" w:rsidR="00DB3519" w:rsidRPr="00DB351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323-39</w:t>
      </w:r>
      <w:r w:rsidRPr="00DB3519">
        <w:rPr>
          <w:rFonts w:ascii="Times New Roman" w:hAnsi="Times New Roman" w:cs="Times New Roman"/>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5E5BE11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 rapport sur la solvabilité et la situation financière mentionnée à l'article DEL 323-38 est approuvé par le conseil d'administration ou le conseil de surveillance. Il contient les informations suivantes, soit in extenso, soit par référence directe et précise à des informations </w:t>
      </w:r>
      <w:r w:rsidRPr="00DB3519">
        <w:rPr>
          <w:rFonts w:ascii="Times New Roman" w:hAnsi="Times New Roman" w:cs="Times New Roman"/>
          <w:sz w:val="24"/>
          <w:szCs w:val="24"/>
        </w:rPr>
        <w:lastRenderedPageBreak/>
        <w:t>équivalentes, tant dans leur nature que dans leur portée, à celles publiées en application d'autres dispositions législatives ou réglementaires :</w:t>
      </w:r>
    </w:p>
    <w:p w14:paraId="05D6305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a) Une description de l'activité et des résultats de l'entreprise ;</w:t>
      </w:r>
    </w:p>
    <w:p w14:paraId="0509CB1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b) Une description du système de gouvernance et une appréciation de son adéquation au profil de risque de l'entreprise ;</w:t>
      </w:r>
    </w:p>
    <w:p w14:paraId="63C19F8D"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 Une description, effectuée séparément pour chaque catégorie de risque, de l'exposition au risque, des concentrations de risque, de l'atténuation du risque et de la sensibilité au risque ;</w:t>
      </w:r>
    </w:p>
    <w:p w14:paraId="1612CEC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d) Une description, effectuée séparément pour les actifs, les provisions techniques prudentielles et les autres passifs, des bases et méthodes utilisées aux fins de leur évaluation, assortie d'une explication de toute différence majeure existant avec les bases et méthodes utilisées aux fins de leur évaluation dans les états financiers ;</w:t>
      </w:r>
    </w:p>
    <w:p w14:paraId="6A9340A4"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 Une description de la façon dont le capital est géré, comprenant au moins les éléments suivants :</w:t>
      </w:r>
    </w:p>
    <w:p w14:paraId="2E23D50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i) La structure des fonds propres ;</w:t>
      </w:r>
    </w:p>
    <w:p w14:paraId="2FB14F2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ii) Les montants du capital de solvabilité requis et du minimum de capital requis ;</w:t>
      </w:r>
    </w:p>
    <w:p w14:paraId="4035850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iii) Les options utilisées le cas échéant pour le calcul du capital de solvabilité requis ;</w:t>
      </w:r>
    </w:p>
    <w:p w14:paraId="603DF1F4"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iv) Des informations permettant de bien comprendre les principales différences existant entre les hypothèses sous-jacentes de la formule standard et celles de tout modèle interne utilisé par l'entreprise pour calculer son capital de solvabilité requis ;</w:t>
      </w:r>
    </w:p>
    <w:p w14:paraId="4377FA4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v) En cas de manquement à l'exigence de minimum de capital requis ou de manquement grave à l'exigence de capital de solvabilité requis, survenu durant la période examinée, le montant de l'écart constaté, même si le problème a été résolu par la suite, assorti d'une explication relative à son origine et à ses conséquences, ainsi qu'à toute mesure corrective qui aurait été prise.</w:t>
      </w:r>
    </w:p>
    <w:p w14:paraId="6CC8569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Dans le cas où l'ajustement égalisateur mentionné à l'article DEL 323-22 est appliqué, la description visée au d inclut une description de l'ajustement égalisateur et du portefeuille d'obligations, une description des actifs du portefeuille assigné auxquels s'applique l'ajustement égalisateur ainsi qu'une quantification des effets d'une annulation de l'ajustement égalisateur sur la situation financière de l'entreprise.</w:t>
      </w:r>
    </w:p>
    <w:p w14:paraId="5CADF967"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La description visée au d, comprend également une déclaration indiquant si la correction pour volatilité mentionnée à l'article DEL 323-22 est utilisée par l'entreprise concernée ainsi qu'une quantification des effets d'une annulation de la correction pour volatilité sur la situation financière de l'entreprise.</w:t>
      </w:r>
    </w:p>
    <w:p w14:paraId="1945C0A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La description visée au i du e comprend une analyse de tout changement important survenu par rapport à la précédente période examinée et une explication de toute différence importante observée, dans les états financiers, dans la valeur des éléments considérés, ainsi qu'une brève description de la transférabilité du capital.</w:t>
      </w:r>
    </w:p>
    <w:p w14:paraId="23FCB78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exigences relatives au contenu du rapport sur la solvabilité et la situation financière, au délai de transmission et aux modalités de transmission sont définies aux articles 290 à 297, 300, 301 et 303 du règlement délégué (UE) n° 2015/35 de la Commission du 10 octobre 2014 dans sa version en vigueur au 1er janvier 2026.</w:t>
      </w:r>
    </w:p>
    <w:p w14:paraId="3118E532" w14:textId="6C8ABBA1" w:rsidR="004233F3"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lastRenderedPageBreak/>
        <w:t> </w:t>
      </w:r>
    </w:p>
    <w:p w14:paraId="05F3943E" w14:textId="209FB63F" w:rsidR="00DB3519" w:rsidRPr="00DB3519" w:rsidRDefault="004233F3" w:rsidP="004233F3">
      <w:pPr>
        <w:rPr>
          <w:rFonts w:ascii="Times New Roman" w:hAnsi="Times New Roman" w:cs="Times New Roman"/>
          <w:sz w:val="24"/>
          <w:szCs w:val="24"/>
        </w:rPr>
      </w:pPr>
      <w:r>
        <w:rPr>
          <w:rFonts w:ascii="Times New Roman" w:hAnsi="Times New Roman" w:cs="Times New Roman"/>
          <w:sz w:val="24"/>
          <w:szCs w:val="24"/>
        </w:rPr>
        <w:br w:type="page"/>
      </w:r>
    </w:p>
    <w:p w14:paraId="231D8961" w14:textId="4D0ED715" w:rsidR="00DB3519" w:rsidRPr="00E572B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lastRenderedPageBreak/>
        <w:t>TITRE III : REGLES DE CONSTITUTION ET DE FONCTIONNEMENT</w:t>
      </w:r>
    </w:p>
    <w:p w14:paraId="3F2C1C64" w14:textId="77777777" w:rsidR="00DB3519" w:rsidRPr="00E572B9" w:rsidRDefault="00DB3519" w:rsidP="00D126F4">
      <w:pPr>
        <w:spacing w:after="0"/>
        <w:jc w:val="center"/>
        <w:rPr>
          <w:rFonts w:ascii="Times New Roman" w:hAnsi="Times New Roman" w:cs="Times New Roman"/>
          <w:b/>
          <w:sz w:val="24"/>
          <w:szCs w:val="24"/>
        </w:rPr>
      </w:pPr>
      <w:r w:rsidRPr="00E572B9">
        <w:rPr>
          <w:rFonts w:ascii="Times New Roman" w:hAnsi="Times New Roman" w:cs="Times New Roman"/>
          <w:b/>
          <w:sz w:val="24"/>
          <w:szCs w:val="24"/>
        </w:rPr>
        <w:t>DES ENTREPRISES D’ASSURANCE</w:t>
      </w:r>
    </w:p>
    <w:p w14:paraId="1A49ED1D" w14:textId="6E8E357D" w:rsidR="00DB3519" w:rsidRDefault="00E572B9" w:rsidP="00D126F4">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60A6FE69" w14:textId="77777777" w:rsidR="00440E7C" w:rsidRPr="00DB3519" w:rsidRDefault="00440E7C" w:rsidP="00D126F4">
      <w:pPr>
        <w:spacing w:after="0"/>
        <w:jc w:val="center"/>
        <w:rPr>
          <w:rFonts w:ascii="Times New Roman" w:hAnsi="Times New Roman" w:cs="Times New Roman"/>
          <w:sz w:val="24"/>
          <w:szCs w:val="24"/>
        </w:rPr>
      </w:pPr>
    </w:p>
    <w:p w14:paraId="211A41A3" w14:textId="4D5E2AE0" w:rsidR="00DB351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t>CHAPITRE I : DISPOSITIONS COMMUNES A TOUTES LES ENTREPRISES D’ASSURANCE</w:t>
      </w:r>
    </w:p>
    <w:p w14:paraId="309FC2F2" w14:textId="0C89983A" w:rsidR="00E572B9" w:rsidRPr="004233F3" w:rsidRDefault="00E572B9" w:rsidP="004233F3">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0754C45D" w14:textId="20E21C5A" w:rsidR="00DB351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t>Section I : Principes généraux</w:t>
      </w:r>
    </w:p>
    <w:p w14:paraId="7DF8B27A" w14:textId="77777777" w:rsidR="00E572B9" w:rsidRPr="00E1061D" w:rsidRDefault="00E572B9" w:rsidP="00E572B9">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59FDD576" w14:textId="1662F6DC"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331-1</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79F2FA1D"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titres de toute nature, les prospectus, les affiches, les circulaires, les plaques, les imprimés et tous les autres documents destinés à être distribués au public ou publiés par une entreprise mentionnée à l'article LP 310-1 doivent porter, à la suite du nom ou de la raison sociale, la mention ci-après en caractères uniformes : « entreprise régie par le code des assurances applicable en Polynésie française ». Ils ne doivent contenir aucune allusion au contrôle de la Polynésie française, ni aucune assertion susceptible d'induire en erreur sur la véritable nature de l'entreprise ou l'importance réelle de ses engagements.</w:t>
      </w:r>
    </w:p>
    <w:p w14:paraId="79721A1A" w14:textId="78A3E529"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 xml:space="preserve">Article DEL 331-2 </w:t>
      </w:r>
      <w:r w:rsidR="00E572B9" w:rsidRPr="00E1061D">
        <w:rPr>
          <w:rFonts w:ascii="Times New Roman" w:hAnsi="Times New Roman" w:cs="Times New Roman"/>
          <w:sz w:val="24"/>
          <w:szCs w:val="24"/>
        </w:rPr>
        <w:t>(rédaction issue de Délibération n° 2025-94 APF du 27 août 2025)</w:t>
      </w:r>
    </w:p>
    <w:p w14:paraId="0D103913" w14:textId="2A1F443D" w:rsidR="00E572B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Il est interdit de stipuler ou de réaliser l'exécution de contrats ou l'attribution de bénéfices par la voie de tirage au sort.</w:t>
      </w:r>
    </w:p>
    <w:p w14:paraId="6CFBB07C" w14:textId="68983958"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331-3</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0EAE760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Lorsque, en application du V de l'article LP 331-3, le Président de la Polynésie française tient compte, dans l'appréciation portée sur chaque membre du conseil d'administration ou de surveillance, de la compétence, de l'expérience et des attributions des autres membres de l'organe auquel il appartient, il s'assure que ceux-ci disposent collectivement des connaissances et de l'expérience nécessaires en matière de marchés de l'assurance et de marchés financiers, de stratégie de l'entreprise et de son modèle économique, de son système de gouvernance, d'analyse financière et actuarielle et d'exigences législatives et réglementaires applicables à l'entreprise d'assurance, appropriées à l'exercice des responsabilités dévolues au conseil d'administration ou au conseil de surveillance.</w:t>
      </w:r>
    </w:p>
    <w:p w14:paraId="55F3342D" w14:textId="6E1C13EA" w:rsidR="00DB3519" w:rsidRPr="00E572B9" w:rsidRDefault="00DB3519" w:rsidP="00E572B9">
      <w:pPr>
        <w:spacing w:before="240" w:after="0"/>
        <w:jc w:val="both"/>
        <w:rPr>
          <w:rFonts w:ascii="Times New Roman" w:hAnsi="Times New Roman" w:cs="Times New Roman"/>
          <w:sz w:val="24"/>
          <w:szCs w:val="24"/>
        </w:rPr>
      </w:pPr>
      <w:r w:rsidRPr="00E572B9">
        <w:rPr>
          <w:rFonts w:ascii="Times New Roman" w:hAnsi="Times New Roman" w:cs="Times New Roman"/>
          <w:b/>
          <w:sz w:val="24"/>
          <w:szCs w:val="24"/>
        </w:rPr>
        <w:t>Article DEL 331-4</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6E25745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Pour l'application des dispositions du troisième alinéa de l'article LP 331-5, l'entreprise juridiquement distincte à qui est confiée la gestion des sinistres de la branche de protection juridique est soit une entreprise régie par le code des assurances applicable en Polynésie française, soit une société civile, soit une société commerciale, soit un groupement d'intérêt économique.</w:t>
      </w:r>
    </w:p>
    <w:p w14:paraId="75BD047C" w14:textId="6F61EFD9" w:rsidR="00DB3519" w:rsidRPr="00DB3519" w:rsidRDefault="004233F3" w:rsidP="004233F3">
      <w:pPr>
        <w:rPr>
          <w:rFonts w:ascii="Times New Roman" w:hAnsi="Times New Roman" w:cs="Times New Roman"/>
          <w:sz w:val="24"/>
          <w:szCs w:val="24"/>
        </w:rPr>
      </w:pPr>
      <w:r>
        <w:rPr>
          <w:rFonts w:ascii="Times New Roman" w:hAnsi="Times New Roman" w:cs="Times New Roman"/>
          <w:sz w:val="24"/>
          <w:szCs w:val="24"/>
        </w:rPr>
        <w:br w:type="page"/>
      </w:r>
    </w:p>
    <w:p w14:paraId="5AE1101E" w14:textId="4634FCC8" w:rsidR="00DB351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lastRenderedPageBreak/>
        <w:t>Section II : Transfert de portefeuille</w:t>
      </w:r>
    </w:p>
    <w:p w14:paraId="79D25966" w14:textId="3D39DFE5" w:rsidR="00E572B9" w:rsidRPr="00E572B9" w:rsidRDefault="00E572B9" w:rsidP="00E572B9">
      <w:pPr>
        <w:spacing w:after="0"/>
        <w:jc w:val="center"/>
        <w:rPr>
          <w:rFonts w:ascii="Times New Roman" w:hAnsi="Times New Roman" w:cs="Times New Roman"/>
          <w:sz w:val="24"/>
          <w:szCs w:val="24"/>
        </w:rPr>
      </w:pPr>
      <w:bookmarkStart w:id="9" w:name="_Hlk211590262"/>
      <w:r w:rsidRPr="00E1061D">
        <w:rPr>
          <w:rFonts w:ascii="Times New Roman" w:hAnsi="Times New Roman" w:cs="Times New Roman"/>
          <w:sz w:val="24"/>
          <w:szCs w:val="24"/>
        </w:rPr>
        <w:t>(rédaction issue de Délibération n° 2025-94 APF du 27 août 2025)</w:t>
      </w:r>
      <w:bookmarkEnd w:id="9"/>
    </w:p>
    <w:p w14:paraId="0734231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Cette section ne comporte pas de dispositions règlementaires.</w:t>
      </w:r>
    </w:p>
    <w:p w14:paraId="76341607" w14:textId="77777777" w:rsidR="00DB3519" w:rsidRPr="00DB3519" w:rsidRDefault="00DB3519" w:rsidP="00DB3519">
      <w:pPr>
        <w:spacing w:before="120" w:after="0"/>
        <w:jc w:val="both"/>
        <w:rPr>
          <w:rFonts w:ascii="Times New Roman" w:hAnsi="Times New Roman" w:cs="Times New Roman"/>
          <w:sz w:val="24"/>
          <w:szCs w:val="24"/>
        </w:rPr>
      </w:pPr>
    </w:p>
    <w:p w14:paraId="473E0C78" w14:textId="0789BE0A" w:rsidR="00DB3519" w:rsidRPr="00E572B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t>Section III : Privilèges</w:t>
      </w:r>
    </w:p>
    <w:p w14:paraId="4A4C2C38" w14:textId="32DF57D9" w:rsidR="00E572B9" w:rsidRPr="00DB3519" w:rsidRDefault="00E572B9" w:rsidP="00E572B9">
      <w:pPr>
        <w:spacing w:after="0"/>
        <w:jc w:val="center"/>
        <w:rPr>
          <w:rFonts w:ascii="Times New Roman" w:hAnsi="Times New Roman" w:cs="Times New Roman"/>
          <w:sz w:val="24"/>
          <w:szCs w:val="24"/>
        </w:rPr>
      </w:pPr>
      <w:r w:rsidRPr="00E572B9">
        <w:rPr>
          <w:rFonts w:ascii="Times New Roman" w:hAnsi="Times New Roman" w:cs="Times New Roman"/>
          <w:sz w:val="24"/>
          <w:szCs w:val="24"/>
        </w:rPr>
        <w:t>(rédaction issue de Délibération n° 2025-94 APF du 27 août 2025)</w:t>
      </w:r>
    </w:p>
    <w:p w14:paraId="3271303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Cette section ne comporte pas de dispositions règlementaires.</w:t>
      </w:r>
    </w:p>
    <w:p w14:paraId="3B544311" w14:textId="77777777" w:rsidR="00DB3519" w:rsidRPr="00DB3519" w:rsidRDefault="00DB3519" w:rsidP="00DB3519">
      <w:pPr>
        <w:spacing w:before="120" w:after="0"/>
        <w:jc w:val="both"/>
        <w:rPr>
          <w:rFonts w:ascii="Times New Roman" w:hAnsi="Times New Roman" w:cs="Times New Roman"/>
          <w:sz w:val="24"/>
          <w:szCs w:val="24"/>
        </w:rPr>
      </w:pPr>
    </w:p>
    <w:p w14:paraId="2A9DB1C7" w14:textId="4F4E3656" w:rsidR="00DB351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t>Section IV : Redressement et/ou liquidation</w:t>
      </w:r>
    </w:p>
    <w:p w14:paraId="12C95A47" w14:textId="77777777" w:rsidR="00E572B9" w:rsidRPr="00E1061D" w:rsidRDefault="00E572B9" w:rsidP="00E572B9">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0687620E" w14:textId="77777777" w:rsidR="00E572B9" w:rsidRPr="00E572B9" w:rsidRDefault="00E572B9" w:rsidP="00E572B9">
      <w:pPr>
        <w:spacing w:before="120" w:after="0"/>
        <w:jc w:val="center"/>
        <w:rPr>
          <w:rFonts w:ascii="Times New Roman" w:hAnsi="Times New Roman" w:cs="Times New Roman"/>
          <w:b/>
          <w:sz w:val="24"/>
          <w:szCs w:val="24"/>
        </w:rPr>
      </w:pPr>
    </w:p>
    <w:p w14:paraId="7EB9E785" w14:textId="271E451D" w:rsidR="00DB3519" w:rsidRPr="00E572B9" w:rsidRDefault="00DB3519" w:rsidP="00E572B9">
      <w:pPr>
        <w:spacing w:after="0"/>
        <w:rPr>
          <w:rFonts w:ascii="Times New Roman" w:hAnsi="Times New Roman" w:cs="Times New Roman"/>
          <w:sz w:val="24"/>
          <w:szCs w:val="24"/>
        </w:rPr>
      </w:pPr>
      <w:r w:rsidRPr="00E572B9">
        <w:rPr>
          <w:rFonts w:ascii="Times New Roman" w:hAnsi="Times New Roman" w:cs="Times New Roman"/>
          <w:b/>
          <w:sz w:val="24"/>
          <w:szCs w:val="24"/>
        </w:rPr>
        <w:t>Article DEL 331-5</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3CF3DD6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En cas de retrait de l'agrément administratif accordé à une entreprise et dans un délai de vingt jours à compter du lendemain du jour de la publication au Journal officiel de la Polynésie française de la décision du Président de la Polynésie française prononçant le retrait d'agrément, chaque souscripteur de contrat est avisé de ce retrait d'agrément par le liquidateur ou, en attendant la désignation du liquidateur, par la personne qui était investie dans l'entreprise des pouvoirs de direction générale ou par son représentant.</w:t>
      </w:r>
    </w:p>
    <w:p w14:paraId="72820E5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Cet avis, qui rappelle la réglementation applicable, est adressé par lettre recommandée à la dernière adresse postale connue du souscripteur.</w:t>
      </w:r>
    </w:p>
    <w:p w14:paraId="026CE97D"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Lorsque le souscripteur du contrat n'est pas l'assuré ou le bénéficiaire du contrat, l'information est aussi adressée aux assurés ou bénéficiaires connus.</w:t>
      </w:r>
    </w:p>
    <w:p w14:paraId="274617C9"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Cet avis rappelle les dispositions des articles LP 331-12 et LP 331-14. Il indique, s'il y a lieu, l'autorité auprès de laquelle les souscripteurs, assurés, adhérents et bénéficiaires de contrats peuvent présenter leurs observations relatives aux créances et précise, le cas échéant, les délais pour ce faire et les conséquences d'une non-observation des délais.</w:t>
      </w:r>
    </w:p>
    <w:p w14:paraId="470B366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avis individuels doivent être préparés sous la responsabilité des administrateurs de l'entreprise ou, dans le cas d'une entreprise mentionnée au 2° de l’article LP 310-2, sous la responsabilité du mandataire général, dès que l'injonction en est adressée par la Polynésie française.</w:t>
      </w:r>
    </w:p>
    <w:p w14:paraId="5457F2FA" w14:textId="7B5774B5" w:rsidR="00E572B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Lorsque le créancier d'assurance connu a sa résidence habituelle, son domicile ou son siège statutaire dans un Etat membre de l'Union européenne ou partie à l'accord sur l'Espace économique européen autre que la France ou dans un Etat ou territoire figurant sur la liste mentionnée à l’article LP 321-2, l'avis est également rédigé dans la langue officielle ou l'une des langues officielles de cet Etat ou territoire.</w:t>
      </w:r>
    </w:p>
    <w:p w14:paraId="1120B9E1" w14:textId="4D113FD4" w:rsidR="00DB3519" w:rsidRPr="00DB3519" w:rsidRDefault="00DB3519" w:rsidP="005C5537">
      <w:pPr>
        <w:spacing w:before="120" w:after="0"/>
        <w:rPr>
          <w:rFonts w:ascii="Times New Roman" w:hAnsi="Times New Roman" w:cs="Times New Roman"/>
          <w:sz w:val="24"/>
          <w:szCs w:val="24"/>
        </w:rPr>
      </w:pPr>
      <w:r w:rsidRPr="00E572B9">
        <w:rPr>
          <w:rFonts w:ascii="Times New Roman" w:hAnsi="Times New Roman" w:cs="Times New Roman"/>
          <w:b/>
          <w:sz w:val="24"/>
          <w:szCs w:val="24"/>
        </w:rPr>
        <w:t>Article DEL 331-6</w:t>
      </w:r>
      <w:r w:rsidR="00E572B9">
        <w:rPr>
          <w:rFonts w:ascii="Times New Roman" w:hAnsi="Times New Roman" w:cs="Times New Roman"/>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44F93E22" w14:textId="1B3B39C4" w:rsidR="00E572B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Lorsque le retrait d'agrément concerne une entreprise visée aux 2° et 3° de l'article LP 310-1, l'avis mentionné à l’article DEL 331-5 reproduit le premier alinéa de l'article LP 331-16 et précise la date à laquelle le contrat souscrit cessera de produire effet.</w:t>
      </w:r>
    </w:p>
    <w:p w14:paraId="4A23D743" w14:textId="77777777" w:rsidR="004233F3" w:rsidRPr="00DB3519" w:rsidRDefault="004233F3" w:rsidP="00DB3519">
      <w:pPr>
        <w:spacing w:before="120" w:after="0"/>
        <w:jc w:val="both"/>
        <w:rPr>
          <w:rFonts w:ascii="Times New Roman" w:hAnsi="Times New Roman" w:cs="Times New Roman"/>
          <w:sz w:val="24"/>
          <w:szCs w:val="24"/>
        </w:rPr>
      </w:pPr>
    </w:p>
    <w:p w14:paraId="006AD78C" w14:textId="28D16802" w:rsidR="00DB3519" w:rsidRPr="00DB3519" w:rsidRDefault="00DB3519" w:rsidP="005C5537">
      <w:pPr>
        <w:spacing w:before="120" w:after="0"/>
        <w:rPr>
          <w:rFonts w:ascii="Times New Roman" w:hAnsi="Times New Roman" w:cs="Times New Roman"/>
          <w:sz w:val="24"/>
          <w:szCs w:val="24"/>
        </w:rPr>
      </w:pPr>
      <w:r w:rsidRPr="00E572B9">
        <w:rPr>
          <w:rFonts w:ascii="Times New Roman" w:hAnsi="Times New Roman" w:cs="Times New Roman"/>
          <w:b/>
          <w:sz w:val="24"/>
          <w:szCs w:val="24"/>
        </w:rPr>
        <w:t>Article DEL 331-7</w:t>
      </w:r>
      <w:r w:rsidR="00E572B9">
        <w:rPr>
          <w:rFonts w:ascii="Times New Roman" w:hAnsi="Times New Roman" w:cs="Times New Roman"/>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1DDBB7B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Lorsque le retrait d'agrément concerne une entreprise mentionnée au 1° de l'article LP 310-1, l'avis mentionné à l’article DEL 331-5 reproduit le texte des articles LP 331-15 et LP 331-17.</w:t>
      </w:r>
    </w:p>
    <w:p w14:paraId="1124384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cas échéant, chaque souscripteur de contrat, assuré ou bénéficiaire connu est informé, dans les mêmes conditions, des décisions prises par le Président de la Polynésie française en application du deuxième alinéa de l'article LP 331-17. Lorsque la décision du Président de la Polynésie française a pour effet de fixer la date à laquelle les contrats cessent d'avoir effet, cette information intervient au plus tard vingt jours avant la date de cessation des effets du contrat.</w:t>
      </w:r>
    </w:p>
    <w:p w14:paraId="3590F698" w14:textId="77777777" w:rsidR="00DB3519" w:rsidRPr="00DB3519" w:rsidRDefault="00DB3519" w:rsidP="00DB3519">
      <w:pPr>
        <w:spacing w:before="120" w:after="0"/>
        <w:jc w:val="both"/>
        <w:rPr>
          <w:rFonts w:ascii="Times New Roman" w:hAnsi="Times New Roman" w:cs="Times New Roman"/>
          <w:sz w:val="24"/>
          <w:szCs w:val="24"/>
        </w:rPr>
      </w:pPr>
    </w:p>
    <w:p w14:paraId="1550F6C8" w14:textId="048FDD69" w:rsidR="00DB3519" w:rsidRDefault="00DB3519" w:rsidP="00E572B9">
      <w:pPr>
        <w:spacing w:before="120" w:after="0"/>
        <w:jc w:val="center"/>
        <w:rPr>
          <w:rFonts w:ascii="Times New Roman" w:hAnsi="Times New Roman" w:cs="Times New Roman"/>
          <w:b/>
          <w:sz w:val="24"/>
          <w:szCs w:val="24"/>
        </w:rPr>
      </w:pPr>
      <w:r w:rsidRPr="00E572B9">
        <w:rPr>
          <w:rFonts w:ascii="Times New Roman" w:hAnsi="Times New Roman" w:cs="Times New Roman"/>
          <w:b/>
          <w:sz w:val="24"/>
          <w:szCs w:val="24"/>
        </w:rPr>
        <w:t>Section V : Sanctions</w:t>
      </w:r>
    </w:p>
    <w:p w14:paraId="5C2A30C2" w14:textId="77777777" w:rsidR="00E572B9" w:rsidRPr="00E1061D" w:rsidRDefault="00E572B9" w:rsidP="00E572B9">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1E2DBFF7" w14:textId="77777777" w:rsidR="00E572B9" w:rsidRPr="00E572B9" w:rsidRDefault="00E572B9" w:rsidP="00E572B9">
      <w:pPr>
        <w:spacing w:before="120" w:after="0"/>
        <w:jc w:val="center"/>
        <w:rPr>
          <w:rFonts w:ascii="Times New Roman" w:hAnsi="Times New Roman" w:cs="Times New Roman"/>
          <w:b/>
          <w:sz w:val="24"/>
          <w:szCs w:val="24"/>
        </w:rPr>
      </w:pPr>
    </w:p>
    <w:p w14:paraId="5E181273" w14:textId="00D7CEEA" w:rsidR="00DB3519" w:rsidRPr="00E572B9" w:rsidRDefault="00DB3519" w:rsidP="00E572B9">
      <w:pPr>
        <w:spacing w:after="0"/>
        <w:rPr>
          <w:rFonts w:ascii="Times New Roman" w:hAnsi="Times New Roman" w:cs="Times New Roman"/>
          <w:sz w:val="24"/>
          <w:szCs w:val="24"/>
        </w:rPr>
      </w:pPr>
      <w:r w:rsidRPr="00E572B9">
        <w:rPr>
          <w:rFonts w:ascii="Times New Roman" w:hAnsi="Times New Roman" w:cs="Times New Roman"/>
          <w:b/>
          <w:sz w:val="24"/>
          <w:szCs w:val="24"/>
        </w:rPr>
        <w:t>Article DEL 331-8</w:t>
      </w:r>
      <w:r w:rsidR="00E572B9">
        <w:rPr>
          <w:rFonts w:ascii="Times New Roman" w:hAnsi="Times New Roman" w:cs="Times New Roman"/>
          <w:b/>
          <w:sz w:val="24"/>
          <w:szCs w:val="24"/>
        </w:rPr>
        <w:t xml:space="preserve"> </w:t>
      </w:r>
      <w:r w:rsidR="00E572B9" w:rsidRPr="00E1061D">
        <w:rPr>
          <w:rFonts w:ascii="Times New Roman" w:hAnsi="Times New Roman" w:cs="Times New Roman"/>
          <w:sz w:val="24"/>
          <w:szCs w:val="24"/>
        </w:rPr>
        <w:t>(rédaction issue de Délibération n° 2025-94 APF du 27 août 2025)</w:t>
      </w:r>
    </w:p>
    <w:p w14:paraId="5C889DA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Est puni de la peine d'amende prévue pour les contraventions de cinquième classe le fait pour tout dirigeant d'une entreprise soumise au contrôle de la Polynésie française en vertu de l'article LP 310-1 :</w:t>
      </w:r>
    </w:p>
    <w:p w14:paraId="0015857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1° De méconnaître les obligations ou interdictions résultant des articles DEL 323-5, DEL 331- 2, DEL 331-5, DEL 331-6, DEL 331-7  DEL 332-2 et DEL 334-11 (1er alinéa) ;</w:t>
      </w:r>
    </w:p>
    <w:p w14:paraId="54ACC4C5"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2° De ne pas produire un programme de rétablissement prescrit conformément aux dispositions de l’article LP 322-9 ou de ne pas exécuter dans les conditions et délais prévus celui qui a été approuvé ;</w:t>
      </w:r>
    </w:p>
    <w:p w14:paraId="0305A46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3° De ne pas respecter les obligations qui lui incombent en matière de tenue de la comptabilité, enregistrement des opérations, conservation des pièces comptables et présentation des comptes annuels.</w:t>
      </w:r>
    </w:p>
    <w:p w14:paraId="0A815EBD" w14:textId="55BB43C8" w:rsid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En cas de récidive, la peine d'amende prévue pour la récidive des contraventions de la cinquième classe est applicable.</w:t>
      </w:r>
    </w:p>
    <w:p w14:paraId="0C243FAD" w14:textId="77777777" w:rsidR="008F71B9" w:rsidRPr="00DB3519" w:rsidRDefault="008F71B9" w:rsidP="00DB3519">
      <w:pPr>
        <w:spacing w:before="120" w:after="0"/>
        <w:jc w:val="both"/>
        <w:rPr>
          <w:rFonts w:ascii="Times New Roman" w:hAnsi="Times New Roman" w:cs="Times New Roman"/>
          <w:sz w:val="24"/>
          <w:szCs w:val="24"/>
        </w:rPr>
      </w:pPr>
    </w:p>
    <w:p w14:paraId="201C1F2E" w14:textId="65AB9887" w:rsidR="00DB3519" w:rsidRPr="00DB3519" w:rsidRDefault="00DB3519" w:rsidP="008F71B9">
      <w:pPr>
        <w:spacing w:after="0"/>
        <w:rPr>
          <w:rFonts w:ascii="Times New Roman" w:hAnsi="Times New Roman" w:cs="Times New Roman"/>
          <w:sz w:val="24"/>
          <w:szCs w:val="24"/>
        </w:rPr>
      </w:pPr>
      <w:r w:rsidRPr="008F71B9">
        <w:rPr>
          <w:rFonts w:ascii="Times New Roman" w:hAnsi="Times New Roman" w:cs="Times New Roman"/>
          <w:b/>
          <w:sz w:val="24"/>
          <w:szCs w:val="24"/>
        </w:rPr>
        <w:t>Article DEL 331-9</w:t>
      </w:r>
      <w:r w:rsidR="008F71B9">
        <w:rPr>
          <w:rFonts w:ascii="Times New Roman" w:hAnsi="Times New Roman" w:cs="Times New Roman"/>
          <w:sz w:val="24"/>
          <w:szCs w:val="24"/>
        </w:rPr>
        <w:t xml:space="preserve"> </w:t>
      </w:r>
      <w:r w:rsidR="008F71B9" w:rsidRPr="00E1061D">
        <w:rPr>
          <w:rFonts w:ascii="Times New Roman" w:hAnsi="Times New Roman" w:cs="Times New Roman"/>
          <w:sz w:val="24"/>
          <w:szCs w:val="24"/>
        </w:rPr>
        <w:t>(rédaction issue de Délibération n° 2025-94 APF du 27 août 2025)</w:t>
      </w:r>
    </w:p>
    <w:p w14:paraId="71E4D9C0" w14:textId="17E54D9C" w:rsid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Pour l'application des pénalités énumérées au présent chapitre, sont considérés comme dirigeants d'entreprise le président-directeur général, le président, les administrateurs, les directeurs généraux, les directeurs généraux adjoints, les directeurs, les membres du conseil de surveillance et du directoire, les gérants et tout dirigeant de fait d'une entreprise polynésienne, et, dans le cas d'une entreprise dont le siège social n’est pas situé en Polynésie française, le mandataire général ou son représentant légal.</w:t>
      </w:r>
    </w:p>
    <w:p w14:paraId="52DF16E3" w14:textId="77777777" w:rsidR="008F71B9" w:rsidRPr="00DB3519" w:rsidRDefault="008F71B9" w:rsidP="00DB3519">
      <w:pPr>
        <w:spacing w:before="120" w:after="0"/>
        <w:jc w:val="both"/>
        <w:rPr>
          <w:rFonts w:ascii="Times New Roman" w:hAnsi="Times New Roman" w:cs="Times New Roman"/>
          <w:sz w:val="24"/>
          <w:szCs w:val="24"/>
        </w:rPr>
      </w:pPr>
    </w:p>
    <w:p w14:paraId="73829897" w14:textId="537DEBAA" w:rsidR="00DB3519" w:rsidRPr="008F71B9" w:rsidRDefault="00DB3519" w:rsidP="008F71B9">
      <w:pPr>
        <w:spacing w:after="0"/>
        <w:rPr>
          <w:rFonts w:ascii="Times New Roman" w:hAnsi="Times New Roman" w:cs="Times New Roman"/>
          <w:sz w:val="24"/>
          <w:szCs w:val="24"/>
        </w:rPr>
      </w:pPr>
      <w:r w:rsidRPr="008F71B9">
        <w:rPr>
          <w:rFonts w:ascii="Times New Roman" w:hAnsi="Times New Roman" w:cs="Times New Roman"/>
          <w:b/>
          <w:sz w:val="24"/>
          <w:szCs w:val="24"/>
        </w:rPr>
        <w:t>Article DEL 331-10</w:t>
      </w:r>
      <w:r w:rsidR="008F71B9">
        <w:rPr>
          <w:rFonts w:ascii="Times New Roman" w:hAnsi="Times New Roman" w:cs="Times New Roman"/>
          <w:b/>
          <w:sz w:val="24"/>
          <w:szCs w:val="24"/>
        </w:rPr>
        <w:t xml:space="preserve"> </w:t>
      </w:r>
      <w:r w:rsidR="008F71B9" w:rsidRPr="00E1061D">
        <w:rPr>
          <w:rFonts w:ascii="Times New Roman" w:hAnsi="Times New Roman" w:cs="Times New Roman"/>
          <w:sz w:val="24"/>
          <w:szCs w:val="24"/>
        </w:rPr>
        <w:t>(rédaction issue de Délibération n° 2025-94 APF du 27 août 2025)</w:t>
      </w:r>
    </w:p>
    <w:p w14:paraId="7424C86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 fait pour tout dirigeant d'une entreprise soumise au contrôle de la Polynésie française en vertu de l'article LP 310-1 de méconnaître les obligations ou interdictions résultant des articles </w:t>
      </w:r>
      <w:r w:rsidRPr="00DB3519">
        <w:rPr>
          <w:rFonts w:ascii="Times New Roman" w:hAnsi="Times New Roman" w:cs="Times New Roman"/>
          <w:sz w:val="24"/>
          <w:szCs w:val="24"/>
        </w:rPr>
        <w:lastRenderedPageBreak/>
        <w:t xml:space="preserve">DEL 322-1 et DEL 331-1 est puni de la peine d'amende prévue pour les contraventions de la cinquième classe.  </w:t>
      </w:r>
    </w:p>
    <w:p w14:paraId="4229C2E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La récidive de la contravention prévue au présent article est réprimée conformément à l'article 132-11 du code pénal.</w:t>
      </w:r>
    </w:p>
    <w:p w14:paraId="1FA34D51" w14:textId="017AE1AF" w:rsidR="00DB3519" w:rsidRPr="00DB3519" w:rsidRDefault="00DB3519" w:rsidP="00DB3519">
      <w:pPr>
        <w:spacing w:before="120" w:after="0"/>
        <w:jc w:val="both"/>
        <w:rPr>
          <w:rFonts w:ascii="Times New Roman" w:hAnsi="Times New Roman" w:cs="Times New Roman"/>
          <w:sz w:val="24"/>
          <w:szCs w:val="24"/>
        </w:rPr>
      </w:pPr>
    </w:p>
    <w:p w14:paraId="11F1EDA5" w14:textId="2E809FB5" w:rsidR="00DB3519" w:rsidRDefault="00DB3519" w:rsidP="008F71B9">
      <w:pPr>
        <w:spacing w:before="120" w:after="0"/>
        <w:jc w:val="center"/>
        <w:rPr>
          <w:rFonts w:ascii="Times New Roman" w:hAnsi="Times New Roman" w:cs="Times New Roman"/>
          <w:b/>
          <w:sz w:val="24"/>
          <w:szCs w:val="24"/>
        </w:rPr>
      </w:pPr>
      <w:r w:rsidRPr="008F71B9">
        <w:rPr>
          <w:rFonts w:ascii="Times New Roman" w:hAnsi="Times New Roman" w:cs="Times New Roman"/>
          <w:b/>
          <w:sz w:val="24"/>
          <w:szCs w:val="24"/>
        </w:rPr>
        <w:t>CHAPITRE II : DISPOSITIONS SPECIFIQUES AUX ENTREPRISES D’ASSURANCE AYANT LEUR SIEGE SOCIAL EN POLYNESIE FRANCAISE</w:t>
      </w:r>
    </w:p>
    <w:p w14:paraId="177BA00C" w14:textId="6D39F83D" w:rsidR="003C3C7C" w:rsidRPr="003C3C7C" w:rsidRDefault="003C3C7C" w:rsidP="003C3C7C">
      <w:pPr>
        <w:spacing w:after="0"/>
        <w:jc w:val="center"/>
        <w:rPr>
          <w:rFonts w:ascii="Times New Roman" w:hAnsi="Times New Roman" w:cs="Times New Roman"/>
          <w:sz w:val="24"/>
          <w:szCs w:val="24"/>
        </w:rPr>
      </w:pPr>
      <w:r w:rsidRPr="003C3C7C">
        <w:rPr>
          <w:rFonts w:ascii="Times New Roman" w:hAnsi="Times New Roman" w:cs="Times New Roman"/>
          <w:sz w:val="24"/>
          <w:szCs w:val="24"/>
        </w:rPr>
        <w:t>(rédaction issue de Délibération n° 2025-94 APF du 27 août 2025)</w:t>
      </w:r>
    </w:p>
    <w:p w14:paraId="09368320" w14:textId="1B91DC0B" w:rsidR="00DB3519" w:rsidRDefault="00DB3519" w:rsidP="00253D44">
      <w:pPr>
        <w:spacing w:before="120" w:after="0"/>
        <w:jc w:val="center"/>
        <w:rPr>
          <w:rFonts w:ascii="Times New Roman" w:hAnsi="Times New Roman" w:cs="Times New Roman"/>
          <w:b/>
          <w:sz w:val="24"/>
          <w:szCs w:val="24"/>
        </w:rPr>
      </w:pPr>
      <w:r w:rsidRPr="00253D44">
        <w:rPr>
          <w:rFonts w:ascii="Times New Roman" w:hAnsi="Times New Roman" w:cs="Times New Roman"/>
          <w:b/>
          <w:sz w:val="24"/>
          <w:szCs w:val="24"/>
        </w:rPr>
        <w:t>Section I : Principes généraux</w:t>
      </w:r>
    </w:p>
    <w:p w14:paraId="45B343D3" w14:textId="5C0614FB" w:rsidR="00253D44" w:rsidRPr="004233F3" w:rsidRDefault="00253D44" w:rsidP="004233F3">
      <w:pPr>
        <w:spacing w:after="0"/>
        <w:jc w:val="center"/>
        <w:rPr>
          <w:rFonts w:ascii="Times New Roman" w:hAnsi="Times New Roman" w:cs="Times New Roman"/>
          <w:sz w:val="24"/>
          <w:szCs w:val="24"/>
        </w:rPr>
      </w:pPr>
      <w:r w:rsidRPr="00E1061D">
        <w:rPr>
          <w:rFonts w:ascii="Times New Roman" w:hAnsi="Times New Roman" w:cs="Times New Roman"/>
          <w:sz w:val="24"/>
          <w:szCs w:val="24"/>
        </w:rPr>
        <w:t>(rédaction issue de Délibération n° 2025-94 APF du 27 août 2025)</w:t>
      </w:r>
    </w:p>
    <w:p w14:paraId="0B510E3D" w14:textId="5A71335D" w:rsidR="00DB3519" w:rsidRPr="00253D44" w:rsidRDefault="00DB3519" w:rsidP="004233F3">
      <w:pPr>
        <w:spacing w:before="120" w:after="0"/>
        <w:rPr>
          <w:rFonts w:ascii="Times New Roman" w:hAnsi="Times New Roman" w:cs="Times New Roman"/>
          <w:sz w:val="24"/>
          <w:szCs w:val="24"/>
        </w:rPr>
      </w:pPr>
      <w:r w:rsidRPr="00253D44">
        <w:rPr>
          <w:rFonts w:ascii="Times New Roman" w:hAnsi="Times New Roman" w:cs="Times New Roman"/>
          <w:b/>
          <w:sz w:val="24"/>
          <w:szCs w:val="24"/>
        </w:rPr>
        <w:t>Article DEL 332-1</w:t>
      </w:r>
      <w:r w:rsidR="00253D44">
        <w:rPr>
          <w:rFonts w:ascii="Times New Roman" w:hAnsi="Times New Roman" w:cs="Times New Roman"/>
          <w:b/>
          <w:sz w:val="24"/>
          <w:szCs w:val="24"/>
        </w:rPr>
        <w:t xml:space="preserve"> </w:t>
      </w:r>
      <w:r w:rsidR="00253D44" w:rsidRPr="00E1061D">
        <w:rPr>
          <w:rFonts w:ascii="Times New Roman" w:hAnsi="Times New Roman" w:cs="Times New Roman"/>
          <w:sz w:val="24"/>
          <w:szCs w:val="24"/>
        </w:rPr>
        <w:t>(rédaction issue de Délibération n° 2025-94 APF du 27 août 2025)</w:t>
      </w:r>
    </w:p>
    <w:p w14:paraId="3F9BE2B2" w14:textId="41C00AF0" w:rsid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mentionnées au 1° du I de l’article LP 310-2 doivent, avant de soumettre à l'assemblée générale des modifications à leurs statuts, obtenir l'accord du Président de la Polynésie française qui statue dans les trois mois du dépôt de trois spécimens des projets de modification des résolutions portant statuts. A l'expiration de ce délai, en l'absence d'observation du Président de la Polynésie française, les modifications sont considérées comme approuvées. Ce délai est réduit à quarante-cinq jours pour les augmentations de capital social.</w:t>
      </w:r>
    </w:p>
    <w:p w14:paraId="7F70604A" w14:textId="77777777" w:rsidR="003C3C7C" w:rsidRPr="00DB3519" w:rsidRDefault="003C3C7C" w:rsidP="00DB3519">
      <w:pPr>
        <w:spacing w:before="120" w:after="0"/>
        <w:jc w:val="both"/>
        <w:rPr>
          <w:rFonts w:ascii="Times New Roman" w:hAnsi="Times New Roman" w:cs="Times New Roman"/>
          <w:sz w:val="24"/>
          <w:szCs w:val="24"/>
        </w:rPr>
      </w:pPr>
    </w:p>
    <w:p w14:paraId="5A54AAC4" w14:textId="152B058D" w:rsidR="00DB3519" w:rsidRPr="00DB3519" w:rsidRDefault="00DB3519" w:rsidP="003C3C7C">
      <w:pPr>
        <w:spacing w:after="0"/>
        <w:rPr>
          <w:rFonts w:ascii="Times New Roman" w:hAnsi="Times New Roman" w:cs="Times New Roman"/>
          <w:sz w:val="24"/>
          <w:szCs w:val="24"/>
        </w:rPr>
      </w:pPr>
      <w:r w:rsidRPr="003C3C7C">
        <w:rPr>
          <w:rFonts w:ascii="Times New Roman" w:hAnsi="Times New Roman" w:cs="Times New Roman"/>
          <w:b/>
          <w:sz w:val="24"/>
          <w:szCs w:val="24"/>
        </w:rPr>
        <w:t>Article DEL 332-2</w:t>
      </w:r>
      <w:r w:rsidR="003C3C7C">
        <w:rPr>
          <w:rFonts w:ascii="Times New Roman" w:hAnsi="Times New Roman" w:cs="Times New Roman"/>
          <w:sz w:val="24"/>
          <w:szCs w:val="24"/>
        </w:rPr>
        <w:t xml:space="preserve"> </w:t>
      </w:r>
      <w:r w:rsidR="003C3C7C" w:rsidRPr="00E1061D">
        <w:rPr>
          <w:rFonts w:ascii="Times New Roman" w:hAnsi="Times New Roman" w:cs="Times New Roman"/>
          <w:sz w:val="24"/>
          <w:szCs w:val="24"/>
        </w:rPr>
        <w:t>(rédaction issue de Délibération n° 2025-94 APF du 27 août 2025)</w:t>
      </w:r>
    </w:p>
    <w:p w14:paraId="7D2814D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Dans les prospectus, affiches, circulaires, notices, annonces ou documents quelconques relatifs aux emprunts des entreprises mentionnées au 1° du I de l’article LP 310-2, il doit être rappelé de manière explicite qu'un privilège est institué au profit des assurés par l'article LP 331-7 et indiqué que le prêteur, même s'il est assuré, ne bénéficie d'aucun privilège pour les intérêts et le remboursement de cet emprunt.</w:t>
      </w:r>
    </w:p>
    <w:p w14:paraId="05B37A2F" w14:textId="1B0701D3" w:rsid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Cette mention doit figurer également en caractères apparents sur les titres d'emprunt.</w:t>
      </w:r>
    </w:p>
    <w:p w14:paraId="76DDC6BA" w14:textId="77777777" w:rsidR="003C3C7C" w:rsidRPr="00DB3519" w:rsidRDefault="003C3C7C" w:rsidP="00DB3519">
      <w:pPr>
        <w:spacing w:before="120" w:after="0"/>
        <w:jc w:val="both"/>
        <w:rPr>
          <w:rFonts w:ascii="Times New Roman" w:hAnsi="Times New Roman" w:cs="Times New Roman"/>
          <w:sz w:val="24"/>
          <w:szCs w:val="24"/>
        </w:rPr>
      </w:pPr>
    </w:p>
    <w:p w14:paraId="5163120C" w14:textId="27123AA5" w:rsidR="00DB3519" w:rsidRPr="003C3C7C" w:rsidRDefault="00DB3519" w:rsidP="003C3C7C">
      <w:pPr>
        <w:spacing w:after="0"/>
        <w:jc w:val="center"/>
        <w:rPr>
          <w:rFonts w:ascii="Times New Roman" w:hAnsi="Times New Roman" w:cs="Times New Roman"/>
          <w:sz w:val="24"/>
          <w:szCs w:val="24"/>
        </w:rPr>
      </w:pPr>
      <w:r w:rsidRPr="003C3C7C">
        <w:rPr>
          <w:rFonts w:ascii="Times New Roman" w:hAnsi="Times New Roman" w:cs="Times New Roman"/>
          <w:b/>
          <w:sz w:val="24"/>
          <w:szCs w:val="24"/>
        </w:rPr>
        <w:t>Section II : Sociétés anonymes d’assurance et de capitalisation</w:t>
      </w:r>
    </w:p>
    <w:p w14:paraId="52B626DE" w14:textId="705FD3BF" w:rsidR="003C3C7C" w:rsidRPr="003C3C7C" w:rsidRDefault="003C3C7C" w:rsidP="004233F3">
      <w:pPr>
        <w:spacing w:after="0"/>
        <w:jc w:val="center"/>
        <w:rPr>
          <w:rFonts w:ascii="Times New Roman" w:hAnsi="Times New Roman" w:cs="Times New Roman"/>
          <w:b/>
          <w:sz w:val="24"/>
          <w:szCs w:val="24"/>
        </w:rPr>
      </w:pPr>
      <w:r w:rsidRPr="003C3C7C">
        <w:rPr>
          <w:rFonts w:ascii="Times New Roman" w:hAnsi="Times New Roman" w:cs="Times New Roman"/>
          <w:sz w:val="24"/>
          <w:szCs w:val="24"/>
        </w:rPr>
        <w:t>(rédaction issue de Délibération n° 2025-94 APF du 27 août 2025)</w:t>
      </w:r>
    </w:p>
    <w:p w14:paraId="60B8404E" w14:textId="0160838B" w:rsidR="00DB3519" w:rsidRPr="00DB3519" w:rsidRDefault="00DB3519" w:rsidP="004233F3">
      <w:pPr>
        <w:spacing w:before="120" w:after="0"/>
        <w:rPr>
          <w:rFonts w:ascii="Times New Roman" w:hAnsi="Times New Roman" w:cs="Times New Roman"/>
          <w:sz w:val="24"/>
          <w:szCs w:val="24"/>
        </w:rPr>
      </w:pPr>
      <w:r w:rsidRPr="003C3C7C">
        <w:rPr>
          <w:rFonts w:ascii="Times New Roman" w:hAnsi="Times New Roman" w:cs="Times New Roman"/>
          <w:b/>
          <w:sz w:val="24"/>
          <w:szCs w:val="24"/>
        </w:rPr>
        <w:t>Article DEL 332-3</w:t>
      </w:r>
      <w:r w:rsidR="003C3C7C">
        <w:rPr>
          <w:rFonts w:ascii="Times New Roman" w:hAnsi="Times New Roman" w:cs="Times New Roman"/>
          <w:sz w:val="24"/>
          <w:szCs w:val="24"/>
        </w:rPr>
        <w:t xml:space="preserve"> </w:t>
      </w:r>
      <w:r w:rsidR="003C3C7C" w:rsidRPr="003C3C7C">
        <w:rPr>
          <w:rFonts w:ascii="Times New Roman" w:hAnsi="Times New Roman" w:cs="Times New Roman"/>
          <w:sz w:val="24"/>
          <w:szCs w:val="24"/>
        </w:rPr>
        <w:t>(rédaction issue de Délibération n° 2025-94 APF du 27 août 2025)</w:t>
      </w:r>
    </w:p>
    <w:p w14:paraId="1787EA6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mentionnées au 1° du I de l’article LP 310-2 et constituées sous la forme de société anonyme doivent avoir un capital social, non compris les apports en nature, au moins égal à 100 000 000 F CFP pour pratiquer les opérations entrant dans les branches mentionnées aux 10 à 15 et aux 22 et 23 de l'article DEL 321-1 ainsi que les opérations de réassurance.</w:t>
      </w:r>
    </w:p>
    <w:p w14:paraId="5437FA69"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mêmes entreprises doivent, pour pratiquer des opérations entrant dans d'autres branches que celles énumérées à l'alinéa précédent, avoir un capital social, non compris les apports en nature, au moins égal à 60 000 000 F CFP.</w:t>
      </w:r>
    </w:p>
    <w:p w14:paraId="028E603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prospectus, affiches, circulaires, notices, annonces ou documents quelconques, ainsi que les polices émis par les sociétés anonymes mentionnées à la présente section doivent indiquer, au-dessous de la mention du montant du capital social, la portion de ce capital déjà versée.</w:t>
      </w:r>
    </w:p>
    <w:p w14:paraId="2B0D0DAC" w14:textId="1B759D81"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332-4</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2ED2391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lastRenderedPageBreak/>
        <w:t>Toute opération permettant à une personne, agissant seule ou de concert avec d'autres personnes, au sens des dispositions de l'article L. 233-10 du code de commerce tel qu’applicable en Polynésie française, d'acquérir, d'étendre, de diminuer ou de cesser de détenir, directement ou indirectement, une participation dans une entreprise mentionnée au 1° de l'article LP 310-2 du présent code doit faire l'objet, de la part de cette ou de ces personnes et préalablement à sa réalisation, de la notification au Président de la Polynésie française prévue au premier alinéa de l'article LP 332-2, lorsqu'une de ces trois conditions est remplie :</w:t>
      </w:r>
    </w:p>
    <w:p w14:paraId="51E5A57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1° La fraction de droits de vote ou des parts de capital détenue par cette ou ces personnes passe au-dessus ou en dessous des seuils du dixième, du cinquième, du tiers ou de la moitié ;</w:t>
      </w:r>
    </w:p>
    <w:p w14:paraId="7208915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2° L'entreprise devient ou cesse d'être une filiale de cette ou de ces personnes ;</w:t>
      </w:r>
    </w:p>
    <w:p w14:paraId="4DBD1777"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3° L'opération permet à cette ou ces personnes d'exercer une influence notable sur la gestion de cette entreprise.</w:t>
      </w:r>
    </w:p>
    <w:p w14:paraId="6A3A0E1D"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Pour l'application de la présente section, les fractions des droits de vote sont calculées conformément aux dispositions de l'article L. 233-4, du premier, troisième et quatrième alinéas de l'article L. 233-7 et de l'article L. 233-9 du code de commerce tel qu’applicable en Polynésie française. Il n'est pas tenu compte des droits de vote ou des actions que des établissements de crédit des sociétés de gestion de portefeuille ou des entreprises d'investissement détiennent à la suite de la prise ferme ou du placement garanti d'instruments financiers, au sens des 6-1 ou 6-2 de l'article D. 321-1 du code monétaire et financier tel qu’applicable en Polynésie française, pour autant que ces droits ne soient pas exercés ni utilisés autrement pour intervenir dans la gestion de l'émetteur et à condition qu'ils soient cédés dans un délai d'un an après l'acquisition. La participation en capital est calculée en additionnant, s'il y a lieu, la participation directe et la ou les participations indirectes détenues dans le capital de l'entreprise. Les participations indirectes sont calculées en multipliant entre elles les fractions détenues dans le capital de chaque entité intermédiaire ainsi que dans le capital de l'entreprise. </w:t>
      </w:r>
    </w:p>
    <w:p w14:paraId="503C5F3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La notification est accompagnée d’un dossier dont la composition est fixée par arrêté pris en conseil des ministres.</w:t>
      </w:r>
    </w:p>
    <w:p w14:paraId="371E151A" w14:textId="3DD20C6B"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332-5</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181C68E7"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sociétés anonymes mentionnées à la présente section sont dispensées du prélèvement prescrit par l'article L. 232-10 du code de commerce tel qu’applicable en Polynésie française.</w:t>
      </w:r>
    </w:p>
    <w:p w14:paraId="14F13352" w14:textId="4BAC83CF" w:rsidR="00DB3519" w:rsidRPr="00302C88" w:rsidRDefault="00DB3519" w:rsidP="00DB3519">
      <w:pPr>
        <w:spacing w:before="120" w:after="0"/>
        <w:jc w:val="both"/>
        <w:rPr>
          <w:rFonts w:ascii="Times New Roman" w:hAnsi="Times New Roman" w:cs="Times New Roman"/>
          <w:b/>
          <w:sz w:val="24"/>
          <w:szCs w:val="24"/>
        </w:rPr>
      </w:pPr>
      <w:r w:rsidRPr="00302C88">
        <w:rPr>
          <w:rFonts w:ascii="Times New Roman" w:hAnsi="Times New Roman" w:cs="Times New Roman"/>
          <w:b/>
          <w:sz w:val="24"/>
          <w:szCs w:val="24"/>
        </w:rPr>
        <w:t>Article DEL 332-6</w:t>
      </w:r>
      <w:r w:rsidR="00302C88">
        <w:rPr>
          <w:rFonts w:ascii="Times New Roman" w:hAnsi="Times New Roman" w:cs="Times New Roman"/>
          <w:b/>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044A9C9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rapport spécial des commissaires aux comptes prévu au troisième alinéa de l'article L. 225- 40 et au troisième alinéa de l'article L. 225-88 du code de commerce tel qu’applicable en Polynésie française doit contenir, pour les sociétés anonymes mentionnées à la présente section, outre les mentions énumérées aux articles 92 ou 117 du décret n° 67-236 du 23 mars 1967 sur les sociétés commerciales tel qu’applicable en Polynésie française, l'indication du montant des sommes versées aux personnes mentionnées, selon le cas, à l'article L. 225-38 ou L. 225-86 du même code à titre de rémunérations ou commissions pour les contrats d'assurance ou de capitalisation souscrits par leur intermédiaire.</w:t>
      </w:r>
    </w:p>
    <w:p w14:paraId="3D672C58" w14:textId="0079F5A2" w:rsidR="004233F3"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w:t>
      </w:r>
    </w:p>
    <w:p w14:paraId="0C505282" w14:textId="2B3AC0B0" w:rsidR="00DB3519" w:rsidRPr="00DB3519" w:rsidRDefault="004233F3" w:rsidP="004233F3">
      <w:pPr>
        <w:rPr>
          <w:rFonts w:ascii="Times New Roman" w:hAnsi="Times New Roman" w:cs="Times New Roman"/>
          <w:sz w:val="24"/>
          <w:szCs w:val="24"/>
        </w:rPr>
      </w:pPr>
      <w:r>
        <w:rPr>
          <w:rFonts w:ascii="Times New Roman" w:hAnsi="Times New Roman" w:cs="Times New Roman"/>
          <w:sz w:val="24"/>
          <w:szCs w:val="24"/>
        </w:rPr>
        <w:br w:type="page"/>
      </w:r>
    </w:p>
    <w:p w14:paraId="3A1D08BB" w14:textId="77777777" w:rsidR="00DB3519" w:rsidRPr="00302C88" w:rsidRDefault="00DB3519" w:rsidP="00302C88">
      <w:pPr>
        <w:spacing w:before="120" w:after="0"/>
        <w:jc w:val="center"/>
        <w:rPr>
          <w:rFonts w:ascii="Times New Roman" w:hAnsi="Times New Roman" w:cs="Times New Roman"/>
          <w:b/>
          <w:sz w:val="24"/>
          <w:szCs w:val="24"/>
        </w:rPr>
      </w:pPr>
      <w:r w:rsidRPr="00302C88">
        <w:rPr>
          <w:rFonts w:ascii="Times New Roman" w:hAnsi="Times New Roman" w:cs="Times New Roman"/>
          <w:b/>
          <w:sz w:val="24"/>
          <w:szCs w:val="24"/>
        </w:rPr>
        <w:lastRenderedPageBreak/>
        <w:t>CHAPITRE III : DISPOSITIONS SPECIFIQUES AUX ENTREPRISES D’ASSURANCE N’AYANT PAS LEUR SIEGE SOCIAL EN POLYNESIE FRANCAISE</w:t>
      </w:r>
    </w:p>
    <w:p w14:paraId="2B6E64CD" w14:textId="77777777" w:rsidR="00302C88" w:rsidRDefault="00302C88" w:rsidP="00302C88">
      <w:pPr>
        <w:spacing w:after="0"/>
        <w:jc w:val="center"/>
        <w:rPr>
          <w:rFonts w:ascii="Times New Roman" w:hAnsi="Times New Roman" w:cs="Times New Roman"/>
          <w:sz w:val="24"/>
          <w:szCs w:val="24"/>
        </w:rPr>
      </w:pPr>
      <w:r w:rsidRPr="003C3C7C">
        <w:rPr>
          <w:rFonts w:ascii="Times New Roman" w:hAnsi="Times New Roman" w:cs="Times New Roman"/>
          <w:sz w:val="24"/>
          <w:szCs w:val="24"/>
        </w:rPr>
        <w:t>(rédaction issue de Délibération n° 2025-94 APF du 27 août 2025)</w:t>
      </w:r>
    </w:p>
    <w:p w14:paraId="06E4C2D5" w14:textId="451DD501"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333-1</w:t>
      </w:r>
      <w:r w:rsidRPr="00DB3519">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11131124"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 mandataire général doit être doté par l'entreprise concernée de pouvoirs suffisants pour engager celle-ci à l'égard des tiers et pour la représenter vis-à-vis des autorités et juridictions. </w:t>
      </w:r>
    </w:p>
    <w:p w14:paraId="2385488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Lorsque le mandataire général est un préposé salarié ou un mandataire rémunéré à la commission de l'entreprise, ses fonctions de mandataire général ne lui font pas perdre cette qualité.</w:t>
      </w:r>
    </w:p>
    <w:p w14:paraId="4B3D251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mandataire général, s'il est une personne physique, ou son représentant s'il est une personne morale, doit produire, en ce qui concerne sa qualification et son expérience professionnelle, les informations définies par arrêté pris en conseil des ministres.</w:t>
      </w:r>
    </w:p>
    <w:p w14:paraId="03C48AF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Toute modification affectant les informations mentionnées au précédent alinéa doit être communiquée au Président de la Polynésie française qui peut, le cas échéant, récuser le mandataire.</w:t>
      </w:r>
    </w:p>
    <w:p w14:paraId="26150F7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L'entreprise ne peut retirer à son mandataire général les pouvoirs qu'elle lui a confiés avant d'avoir désigné son successeur. Le mandataire général demeure investi de cette fonction tant que son remplaçant n'a pas été désigné et, s'il y a lieu, accepté par le Président de la Polynésie française. En cas de décès du mandataire général, ou de la personne physique nommément désignée pour le représenter, l'entreprise doit désigner son successeur dans le délai le plus bref.</w:t>
      </w:r>
    </w:p>
    <w:p w14:paraId="10FFE064" w14:textId="0C452FC7"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333-2</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435015B9"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succursales des entreprises mentionnées au 2° de l’article LP 310-2 ne relevant pas d’une autorité de contrôle partenaire nomment un ou plusieurs commissaires aux comptes. Ces derniers certifient les comptes annuels des succursales. Ils sont désignés par le mandataire général mentionné à l'article LP 333-1.</w:t>
      </w:r>
    </w:p>
    <w:p w14:paraId="725E394A" w14:textId="62309A63" w:rsidR="00DB3519" w:rsidRPr="00DB3519" w:rsidRDefault="00DB3519" w:rsidP="00DB3519">
      <w:pPr>
        <w:spacing w:before="120" w:after="0"/>
        <w:jc w:val="both"/>
        <w:rPr>
          <w:rFonts w:ascii="Times New Roman" w:hAnsi="Times New Roman" w:cs="Times New Roman"/>
          <w:sz w:val="24"/>
          <w:szCs w:val="24"/>
        </w:rPr>
      </w:pPr>
    </w:p>
    <w:p w14:paraId="23C8B8FB" w14:textId="55468DAE" w:rsidR="00DB3519" w:rsidRDefault="00DB3519" w:rsidP="00302C88">
      <w:pPr>
        <w:spacing w:before="120" w:after="0"/>
        <w:jc w:val="center"/>
        <w:rPr>
          <w:rFonts w:ascii="Times New Roman" w:hAnsi="Times New Roman" w:cs="Times New Roman"/>
          <w:b/>
          <w:sz w:val="24"/>
          <w:szCs w:val="24"/>
        </w:rPr>
      </w:pPr>
      <w:r w:rsidRPr="00302C88">
        <w:rPr>
          <w:rFonts w:ascii="Times New Roman" w:hAnsi="Times New Roman" w:cs="Times New Roman"/>
          <w:b/>
          <w:sz w:val="24"/>
          <w:szCs w:val="24"/>
        </w:rPr>
        <w:t>CHAPITRE IV : DISPOSITIONS COMPTABLES ET STATISTIQUES</w:t>
      </w:r>
    </w:p>
    <w:p w14:paraId="0EB62262" w14:textId="7C51B8BA" w:rsidR="00302C88" w:rsidRPr="00302C88" w:rsidRDefault="00302C88" w:rsidP="00302C88">
      <w:pPr>
        <w:spacing w:after="0"/>
        <w:jc w:val="center"/>
        <w:rPr>
          <w:rFonts w:ascii="Times New Roman" w:hAnsi="Times New Roman" w:cs="Times New Roman"/>
          <w:b/>
          <w:sz w:val="24"/>
          <w:szCs w:val="24"/>
        </w:rPr>
      </w:pPr>
      <w:r w:rsidRPr="003C3C7C">
        <w:rPr>
          <w:rFonts w:ascii="Times New Roman" w:hAnsi="Times New Roman" w:cs="Times New Roman"/>
          <w:sz w:val="24"/>
          <w:szCs w:val="24"/>
        </w:rPr>
        <w:t>(rédaction issue de Délibération n° 2025-94 APF du 27 août 2025)</w:t>
      </w:r>
    </w:p>
    <w:p w14:paraId="666D3AA4" w14:textId="4491C7EB" w:rsidR="00DB3519" w:rsidRPr="00302C88" w:rsidRDefault="00DB3519" w:rsidP="00DB3519">
      <w:pPr>
        <w:spacing w:before="120" w:after="0"/>
        <w:jc w:val="both"/>
        <w:rPr>
          <w:rFonts w:ascii="Times New Roman" w:hAnsi="Times New Roman" w:cs="Times New Roman"/>
          <w:b/>
          <w:sz w:val="24"/>
          <w:szCs w:val="24"/>
        </w:rPr>
      </w:pPr>
      <w:r w:rsidRPr="00302C88">
        <w:rPr>
          <w:rFonts w:ascii="Times New Roman" w:hAnsi="Times New Roman" w:cs="Times New Roman"/>
          <w:b/>
          <w:sz w:val="24"/>
          <w:szCs w:val="24"/>
        </w:rPr>
        <w:t>Article DEL 334-1</w:t>
      </w:r>
      <w:r w:rsidR="00302C88">
        <w:rPr>
          <w:rFonts w:ascii="Times New Roman" w:hAnsi="Times New Roman" w:cs="Times New Roman"/>
          <w:b/>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076F8E0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Sous réserve de dispositions particulières prévues au présent code et de celles prévues par le règlement n° 2015-11 de l’Autorité des normes comptables, dans sa version en vigueur au 1er janvier 2026, les entreprises mentionnées à l’article DEL 334-2 sont soumises aux obligations comptables figurant aux articles L. 123-12 à L. 123-22 du code de commerce tel qu’applicable en Polynésie française.</w:t>
      </w:r>
    </w:p>
    <w:p w14:paraId="5DA88453" w14:textId="0E31ECA1" w:rsidR="00DB3519" w:rsidRPr="00302C88" w:rsidRDefault="00DB3519" w:rsidP="00DB3519">
      <w:pPr>
        <w:spacing w:before="120" w:after="0"/>
        <w:jc w:val="both"/>
        <w:rPr>
          <w:rFonts w:ascii="Times New Roman" w:hAnsi="Times New Roman" w:cs="Times New Roman"/>
          <w:b/>
          <w:sz w:val="24"/>
          <w:szCs w:val="24"/>
        </w:rPr>
      </w:pPr>
      <w:r w:rsidRPr="00302C88">
        <w:rPr>
          <w:rFonts w:ascii="Times New Roman" w:hAnsi="Times New Roman" w:cs="Times New Roman"/>
          <w:b/>
          <w:sz w:val="24"/>
          <w:szCs w:val="24"/>
        </w:rPr>
        <w:t>Article DEL 334-2</w:t>
      </w:r>
      <w:r w:rsidR="00302C88">
        <w:rPr>
          <w:rFonts w:ascii="Times New Roman" w:hAnsi="Times New Roman" w:cs="Times New Roman"/>
          <w:b/>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24E93F9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Sont soumises à l'obligation d'établir des comptes annuels, suivant les prescriptions comptables applicables :</w:t>
      </w:r>
    </w:p>
    <w:p w14:paraId="2338683B" w14:textId="596E13BC"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1° Les entreprises mentionnées au 1° de l'article LP 310-2, pour l'ensemble de leurs opérations</w:t>
      </w:r>
      <w:r w:rsidR="004233F3">
        <w:rPr>
          <w:rFonts w:ascii="Times New Roman" w:hAnsi="Times New Roman" w:cs="Times New Roman"/>
          <w:sz w:val="24"/>
          <w:szCs w:val="24"/>
        </w:rPr>
        <w:t> </w:t>
      </w:r>
      <w:r w:rsidRPr="00DB3519">
        <w:rPr>
          <w:rFonts w:ascii="Times New Roman" w:hAnsi="Times New Roman" w:cs="Times New Roman"/>
          <w:sz w:val="24"/>
          <w:szCs w:val="24"/>
        </w:rPr>
        <w:t>;</w:t>
      </w:r>
    </w:p>
    <w:p w14:paraId="46036F0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lastRenderedPageBreak/>
        <w:t>2° Les succursales d'entreprises mentionnées au 2° de l'article LP 310-2, pour leurs opérations en Polynésie française.</w:t>
      </w:r>
    </w:p>
    <w:p w14:paraId="0CC675D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prescriptions comptables applicables sont celles fixées par le règlement n° 2015-11 de l’Autorité des normes comptables, dans sa version en vigueur au 1er janvier 2026.</w:t>
      </w:r>
    </w:p>
    <w:p w14:paraId="34A2C7D1" w14:textId="3E71942E" w:rsidR="00DB3519" w:rsidRPr="00302C88" w:rsidRDefault="00DB3519" w:rsidP="00DB3519">
      <w:pPr>
        <w:spacing w:before="120" w:after="0"/>
        <w:jc w:val="both"/>
        <w:rPr>
          <w:rFonts w:ascii="Times New Roman" w:hAnsi="Times New Roman" w:cs="Times New Roman"/>
          <w:b/>
          <w:sz w:val="24"/>
          <w:szCs w:val="24"/>
        </w:rPr>
      </w:pPr>
      <w:r w:rsidRPr="00302C88">
        <w:rPr>
          <w:rFonts w:ascii="Times New Roman" w:hAnsi="Times New Roman" w:cs="Times New Roman"/>
          <w:b/>
          <w:sz w:val="24"/>
          <w:szCs w:val="24"/>
        </w:rPr>
        <w:t>Article DEL 334-3</w:t>
      </w:r>
      <w:r w:rsidR="00302C88">
        <w:rPr>
          <w:rFonts w:ascii="Times New Roman" w:hAnsi="Times New Roman" w:cs="Times New Roman"/>
          <w:b/>
          <w:sz w:val="24"/>
          <w:szCs w:val="24"/>
        </w:rPr>
        <w:t xml:space="preserve"> </w:t>
      </w:r>
      <w:r w:rsidR="00302C88" w:rsidRPr="00302C88">
        <w:rPr>
          <w:rFonts w:ascii="Times New Roman" w:hAnsi="Times New Roman" w:cs="Times New Roman"/>
          <w:sz w:val="24"/>
          <w:szCs w:val="24"/>
        </w:rPr>
        <w:t>(rédaction issue de Délibération n° 2025-94 APF du 27 août 2025)</w:t>
      </w:r>
    </w:p>
    <w:p w14:paraId="63D85E3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Sans préjudice des règles de publicité définies à l'article L. 232-23 du code de commerce tel qu’applicable en Polynésie française, les entreprises mentionnées à l'article DEL 334-2 sont tenues de publier ou mettre à disposition, selon des modalités précisées par arrêté pris en conseil des ministres, leurs comptes annuels, le rapport de gestion, sauf pour les succursales d'entreprises mentionnées au 2° de l'article DEL 334-2, le rapport des commissaires aux comptes sur les comptes annuels, ainsi que, le cas échéant, les comptes consolidés ou combinés, le rapport sur la gestion du groupe, le rapport des commissaires aux comptes sur les comptes consolidés ou combinés.</w:t>
      </w:r>
    </w:p>
    <w:p w14:paraId="7EA2394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Lorsqu'une entreprise refuse de communiquer tout ou partie des documents demandés au titre de l'alinéa précédent, le président du tribunal compétent statuant en référé peut, à la demande de la personne concernée, lui ordonner, sous astreinte, de lui communiquer ces documents.</w:t>
      </w:r>
    </w:p>
    <w:p w14:paraId="307CD4A1" w14:textId="2CBC8F5A" w:rsidR="00DB3519" w:rsidRPr="00302C88" w:rsidRDefault="00DB3519" w:rsidP="00DB3519">
      <w:pPr>
        <w:spacing w:before="120" w:after="0"/>
        <w:jc w:val="both"/>
        <w:rPr>
          <w:rFonts w:ascii="Times New Roman" w:hAnsi="Times New Roman" w:cs="Times New Roman"/>
          <w:b/>
          <w:sz w:val="24"/>
          <w:szCs w:val="24"/>
        </w:rPr>
      </w:pPr>
      <w:r w:rsidRPr="00302C88">
        <w:rPr>
          <w:rFonts w:ascii="Times New Roman" w:hAnsi="Times New Roman" w:cs="Times New Roman"/>
          <w:b/>
          <w:sz w:val="24"/>
          <w:szCs w:val="24"/>
        </w:rPr>
        <w:t>Article DEL 334-4</w:t>
      </w:r>
      <w:r w:rsidR="00302C88">
        <w:rPr>
          <w:rFonts w:ascii="Times New Roman" w:hAnsi="Times New Roman" w:cs="Times New Roman"/>
          <w:b/>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3FF5EAF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Dans l'exercice de ses missions, le Président de la Polynésie française peut autoriser ou prescrire à des entreprises mentionnées à l’article DEL 334-2, de déroger à certaines dispositions concernant la date de clôture de l'exercice comptable, la tenue et la présentation des comptes, les modalités d'évaluation des actifs et des passifs. La liste de ces autorisations ou prescriptions ainsi que leurs modalités de mise en œuvre sont précisées par arrêté pris en conseil des ministres.</w:t>
      </w:r>
    </w:p>
    <w:p w14:paraId="00FFFEEE" w14:textId="4F23A2CD"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Président de la Polynésie française peut également prescrire à ces entreprises de mettre des valorisations figurant dans leurs comptes en conformité avec les dispositions de l'article DEL 334-2.</w:t>
      </w:r>
    </w:p>
    <w:p w14:paraId="77E3B039" w14:textId="6340FC80"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334-5</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74EC6AA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Sous réserve des dispositions du présent code et des adaptations rendues nécessaires par les prescriptions comptables qui leur sont applicables, les entreprises mentionnées à l'article DEL 334-2 sont soumises aux dispositions des articles 311-3-2, 311-5, 312-8, 361-2, 410-2, 410-6,  410-7, 410-8, 321-10, 321-13, 322-1-8, 322-1-10, 322-4-5, 361-1, 420-2, 420-3, 420- 4 , 434-1, 511-4, 511-5 et 511-6 de la délibération n° 2011-13 APF du 5 mai 2011 relative au plan comptable général applicable en Polynésie française.</w:t>
      </w:r>
    </w:p>
    <w:p w14:paraId="2CC455EC" w14:textId="40471515"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334-6</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0320FCB4"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Un arrêté pris en conseil des ministres peut, en tant que de besoin, prescrire aux entreprises mentionnées à l’article LP 310-1 des modalités spécifiques de suivi extracomptable des placements, des contrats, des sinistres et des opérations de réassurance, de coassurance et de coréassurance.</w:t>
      </w:r>
    </w:p>
    <w:p w14:paraId="238B412F" w14:textId="6AB1C8F0"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334-7</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30507FF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Sauf dérogation autorisée par le Président de la Polynésie française en application de l'article DEL 334-4, l'exercice comptable commence le 1er janvier et finit le 31 décembre de chaque </w:t>
      </w:r>
      <w:r w:rsidRPr="00DB3519">
        <w:rPr>
          <w:rFonts w:ascii="Times New Roman" w:hAnsi="Times New Roman" w:cs="Times New Roman"/>
          <w:sz w:val="24"/>
          <w:szCs w:val="24"/>
        </w:rPr>
        <w:lastRenderedPageBreak/>
        <w:t>année. Exceptionnellement, le premier exercice comptable des entreprises qui commencent leurs opérations au cours d'une année civile peut être clôturé à l'expiration de l'année suivante.</w:t>
      </w:r>
    </w:p>
    <w:p w14:paraId="1B4A1A0C" w14:textId="0D21B191"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334-8</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04D606B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opérations en devises et les documents comptables y afférant sont définis et tenus dans chacune des devises utilisées, selon les prescriptions comptables applicables. Toutefois, les entreprises dont les opérations en devises ne sont pas significatives peuvent tenir leurs documents comptables uniquement en francs CFP.</w:t>
      </w:r>
    </w:p>
    <w:p w14:paraId="21CD6C5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comptes annuels sont établis en francs CFP. Pour l'établissement des comptes annuels, les opérations en devises sont converties en francs CFP d'après les cours de change constatés à la date de la clôture des comptes ou, à défaut, à la date antérieure la plus proche.</w:t>
      </w:r>
    </w:p>
    <w:p w14:paraId="60C1D364" w14:textId="5A7AC977" w:rsidR="00DB3519" w:rsidRPr="00302C88" w:rsidRDefault="00DB3519" w:rsidP="00DB3519">
      <w:pPr>
        <w:spacing w:before="120" w:after="0"/>
        <w:jc w:val="both"/>
        <w:rPr>
          <w:rFonts w:ascii="Times New Roman" w:hAnsi="Times New Roman" w:cs="Times New Roman"/>
          <w:b/>
          <w:sz w:val="24"/>
          <w:szCs w:val="24"/>
        </w:rPr>
      </w:pPr>
      <w:r w:rsidRPr="00302C88">
        <w:rPr>
          <w:rFonts w:ascii="Times New Roman" w:hAnsi="Times New Roman" w:cs="Times New Roman"/>
          <w:b/>
          <w:sz w:val="24"/>
          <w:szCs w:val="24"/>
        </w:rPr>
        <w:t>Article DEL 334-9</w:t>
      </w:r>
      <w:r w:rsidR="00302C88">
        <w:rPr>
          <w:rFonts w:ascii="Times New Roman" w:hAnsi="Times New Roman" w:cs="Times New Roman"/>
          <w:b/>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06D78D5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Président de la Polynésie française peut demander que les comptes annuels lui soient communiqués avant d'être soumis à l'assemblée générale, à partir de la date à laquelle ils doivent être tenus à la disposition des commissaires aux comptes.</w:t>
      </w:r>
    </w:p>
    <w:p w14:paraId="1656905D" w14:textId="2F6B5521"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334-10</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11ECEB06"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Toute entreprise mentionnée à l'article DEL 334-2 est tenue de mettre en place des procédures d'élaboration et de vérification de l'information financière et comptable nécessaire à l'établissement des comptes annuels.</w:t>
      </w:r>
    </w:p>
    <w:p w14:paraId="4900F13D"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Pour les entreprises mentionnées à l’article DEL 323-1, ces procédures sont décrites dans un rapport soumis annuellement à l'approbation du conseil d'administration ou du conseil de surveillance et transmis au Président de la Polynésie française.</w:t>
      </w:r>
    </w:p>
    <w:p w14:paraId="4433838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Pour les entreprises mentionnées à l'article DEL 323-2, le rapport est intégré dans le rapport de contrôle interne mentionné à l'article DEL 323-15.</w:t>
      </w:r>
    </w:p>
    <w:p w14:paraId="0748DD9C" w14:textId="763F900B"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334-11</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116A52D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Pour les entreprises mentionnées à l’article LP 310-1, les éléments mentionnés au présent article constituent des engagements réglementés pour l’application des dispositions du présent livre.</w:t>
      </w:r>
    </w:p>
    <w:p w14:paraId="36F79E5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entreprises doivent être en mesure de justifier de l'évaluation des éléments suivants :</w:t>
      </w:r>
    </w:p>
    <w:p w14:paraId="5481A8C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1° Les provisions techniques suffisantes pour le règlement intégral de leurs engagements vis-à-vis des assurés, des souscripteurs et bénéficiaires de contrats et des entreprises réassurées ;</w:t>
      </w:r>
    </w:p>
    <w:p w14:paraId="0D35815D"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2° Les postes du passif correspondant aux autres créances privilégiées ;</w:t>
      </w:r>
    </w:p>
    <w:p w14:paraId="58B08BC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3° Les dépôts de garantie des agents, des assurés et des tiers, s'il y a lieu ;</w:t>
      </w:r>
    </w:p>
    <w:p w14:paraId="07F00819"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4° Une réserve d'amortissement des emprunts ;</w:t>
      </w:r>
    </w:p>
    <w:p w14:paraId="1E736BA5"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5° Une provision de prévoyance en faveur des employés et agents destinée à faire face aux engagements pris par l'entreprise envers son personnel et ses collaborateurs.</w:t>
      </w:r>
    </w:p>
    <w:p w14:paraId="4CF5542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Les provisions techniques mentionnées au 1° sont évaluées, sans déduction des cessions en réassurance cédées à des entreprises agréées ou non.  </w:t>
      </w:r>
    </w:p>
    <w:p w14:paraId="7AA98938" w14:textId="458E7AD5"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334-12</w:t>
      </w:r>
      <w:r w:rsidRPr="00DB3519">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5502269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lastRenderedPageBreak/>
        <w:t>Les provisions techniques correspondant aux opérations d’assurance mentionnées au 1° de l’article LP 310-1 sont les suivantes :</w:t>
      </w:r>
    </w:p>
    <w:p w14:paraId="4E90969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1° provision mathématique : différence entre les valeurs actuelles des engagements respectivement pris par l’assureur et par les assurés ;</w:t>
      </w:r>
    </w:p>
    <w:p w14:paraId="1BED661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2° provision pour participation aux bénéfices : montant des participations aux bénéfices attribuées aux bénéficiaires de contrats lorsque ces bénéfices ne sont pas payables immédiatement après la liquidation de l’exercice qui les a produits ;</w:t>
      </w:r>
    </w:p>
    <w:p w14:paraId="7D71336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3° réserve de capitalisation : réserve destinée à parer à la dépréciation des valeurs comprises dans l’actif de l’entreprise et à la diminution de leur revenu ;</w:t>
      </w:r>
    </w:p>
    <w:p w14:paraId="7ACEBE9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4° provision de gestion : destinée à couvrir les charges de gestion future des contrats non couvertes par ailleurs ;</w:t>
      </w:r>
    </w:p>
    <w:p w14:paraId="68730A4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5° provision pour aléas financiers : destinée à compenser la baisse de rendement de l’actif ;</w:t>
      </w:r>
    </w:p>
    <w:p w14:paraId="205D90F9"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6° provision pour risque d’exigibilité : provision destinée à faire face aux engagements dans le cas de moins-value de l’ensemble des actifs mentionnés à l’article DEL 334-16 ;</w:t>
      </w:r>
    </w:p>
    <w:p w14:paraId="408F51C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7° provision pour frais d’acquisition reportés : provision destinée à couvrir les charges résultant du report des frais d’acquisition ;</w:t>
      </w:r>
    </w:p>
    <w:p w14:paraId="55406D3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8° provision pour égalisation : provision destinée à faire face aux fluctuations de sinistralité afférentes aux opérations d’assurance de groupe contre le risque décès.</w:t>
      </w:r>
    </w:p>
    <w:p w14:paraId="23ABE7B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Un engagement ne peut être provisionné qu’au titre d’une seule des catégories mentionnées au présent article.</w:t>
      </w:r>
    </w:p>
    <w:p w14:paraId="14E48164" w14:textId="060B052A"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334-13</w:t>
      </w:r>
      <w:r w:rsidRPr="00DB3519">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1D44981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provisions techniques correspondant aux opérations d’assurance mentionnées aux 2° et 3° de l’article LP 310-1 sont les suivantes :</w:t>
      </w:r>
    </w:p>
    <w:p w14:paraId="6B8C98F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1° provision mathématique des rentes : valeur actuelle des engagements de l’entreprise en ce qui concerne les rentes et accessoires de rentes mis à sa charge ;</w:t>
      </w:r>
    </w:p>
    <w:p w14:paraId="0BD5A61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2° provision pour primes non acquises : provision destinée à constater, pour l’ensemble des contrats en cours, la part des primes émises et des primes restant à émettre se rapportant à la période comprise entre la date de l’inventaire et la date de la prochaine échéance de prime ou, à défaut, du terme du contrat ;</w:t>
      </w:r>
    </w:p>
    <w:p w14:paraId="1E523A3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3° provision pour risques en cours : provision destinée à couvrir, pour l’ensemble des contrats en cours, la charge des sinistres et des frais afférents aux contrats, pour la période s’écoulant entre la date de l’inventaire et la date de la première échéance de prime pouvant donner lieu à révision de la prime par l’assureur ou, à défaut, entre la date de l’inventaire et le terme du contrat, pour la part de ce coût qui n’est pas couverte par la provision pour primes non acquises ;</w:t>
      </w:r>
    </w:p>
    <w:p w14:paraId="53912D9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4° réserve de capitalisation : réserve destinée à parer à la dépréciation des valeurs comprises dans l’actif de l’entreprise et à la diminution de leur revenu ;</w:t>
      </w:r>
    </w:p>
    <w:p w14:paraId="038F0E9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lastRenderedPageBreak/>
        <w:t>5° provision pour sinistres à payer : valeur estimative des dépenses en principal et en frais, tant internes qu’externes, nécessaires au règlement de tous les sinistres survenus et non payés, y compris les capitaux constitutifs des rentes non encore mises à la charge de l’entreprise ;</w:t>
      </w:r>
    </w:p>
    <w:p w14:paraId="222F7FB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6° provision pour risques croissants : provision pouvant être exigée pour les opérations d’assurance contre les risques de maladie et d’invalidité et égale à la différence des valeurs actuelles des engagements respectivement pris par l’assureur et par les assurés ;</w:t>
      </w:r>
    </w:p>
    <w:p w14:paraId="13424BB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7° provision pour égalisation :</w:t>
      </w:r>
    </w:p>
    <w:p w14:paraId="715EAD7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a) provision destinée à faire face aux charges exceptionnelles afférentes aux opérations garantissant les risques dus à des éléments naturels, le risque atomique, les risques de responsabilité civile dus à la pollution, les risques spatiaux, les risques liés au transport aérien et les risques liés aux attentats et au terrorisme ;</w:t>
      </w:r>
    </w:p>
    <w:p w14:paraId="5831010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b) provision destinée à compenser en assurance-crédit la perte technique éventuelle apparaissant à la fin de l’exercice ;</w:t>
      </w:r>
    </w:p>
    <w:p w14:paraId="6B021554"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 provision destinée à faire face aux fluctuations de sinistralité afférentes aux opérations d’assurance de groupe contre les risques de dommages corporels ;</w:t>
      </w:r>
    </w:p>
    <w:p w14:paraId="49F92DE7"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8° provision pour risque d’exigibilité : provision destinée à faire face aux engagements dans le cas de moins-value de l’ensemble des actifs mentionnés à l’article DEL 334-14.</w:t>
      </w:r>
    </w:p>
    <w:p w14:paraId="7762D074" w14:textId="5F2C7031"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334-14</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24E3F4AB"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Lorsque les garanties d'un contrat sont exprimées dans une monnaie déterminée, les engagements de l'entreprise d'assurance mentionnés à l'article DEL 334-11 sont libellés dans cette monnaie.</w:t>
      </w:r>
    </w:p>
    <w:p w14:paraId="582E07C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Lorsque les garanties d'un contrat ne sont pas exprimées dans une monnaie déterminée, les engagements d'une entreprise d'assurance sont libellés dans la monnaie du pays où le risque est situé. Toutefois, cette entreprise peut choisir de libeller ses engagements dans la monnaie dans laquelle la prime est exprimée si, dès la souscription du contrat, il paraît vraisemblable qu'un sinistre sera payé, non dans la monnaie du pays de situation du risque, mais dans la monnaie dans laquelle la prime a été libellée.</w:t>
      </w:r>
    </w:p>
    <w:p w14:paraId="78ED5E5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Si un sinistre a été déclaré à l'assureur et si les prestations sont payables dans une monnaie déterminée autre que celle résultant de l'application des dispositions précédentes, les engagements de l'entreprise d'assurance sont libellés dans la monnaie dans laquelle l'indemnité à verser par cette entreprise a été fixée par une décision de justice ou bien par accord entre l'entreprise d'assurance et l'assuré.</w:t>
      </w:r>
    </w:p>
    <w:p w14:paraId="45484163"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Lorsqu'un sinistre est évalué dans une monnaie connue d'avance de l'entreprise d'assurance mais différente de celle qui résulte de l'application des dispositions des précédents alinéas, les entreprises d'assurance peuvent libeller leurs engagements dans cette monnaie.</w:t>
      </w:r>
    </w:p>
    <w:p w14:paraId="00014577" w14:textId="46D8EED4"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334-15</w:t>
      </w:r>
      <w:r w:rsidRPr="00DB3519">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4BD2992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 xml:space="preserve">Les valeurs amortissables, autres que les obligations et les parts indexées, les parts de fonds communs de créance et les titres participatifs sont inscrites à leur prix d'achat hors intérêts courus à la date d'acquisition. Les modalités de détermination de ce prix d'achat, de l'amortissement, sur la durée résiduelle des titres, de la différence entre leur prix d'achat et leur prix de remboursement ainsi que les modalités de dépréciation à constater à l'inventaire, </w:t>
      </w:r>
      <w:r w:rsidRPr="00DB3519">
        <w:rPr>
          <w:rFonts w:ascii="Times New Roman" w:hAnsi="Times New Roman" w:cs="Times New Roman"/>
          <w:sz w:val="24"/>
          <w:szCs w:val="24"/>
        </w:rPr>
        <w:lastRenderedPageBreak/>
        <w:t>lorsqu'il y a lieu de considérer que le débiteur ne sera pas en mesure de respecter ses engagements, soit pour le paiement des intérêts, soit pour le remboursement du principal, sont définies par arrêté pris en conseil des ministres</w:t>
      </w:r>
    </w:p>
    <w:p w14:paraId="694B6755"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 présent article s'applique également aux obligations indexées sur le niveau général des prix d'un pays ou d'un ensemble de pays dont la devise est celle dans laquelle sont libellées ces obligations, avec garantie de remboursement au pair. Ces obligations sont soit émises par une personne morale de droit privé ayant son siège social sur le territoire d'un Etat membre de l'OCDE et négociées sur un marché reconnu, soit émises ou garanties par l'un des Etats membres de l’OCDE, un organisme international à caractère public dont un ou plusieurs Etats membres de l’Union européenne font partie, ou les collectivités publiques territoriales d'un Etat membre de l'OCDE soit celles dont le débiteur est un établissement public national de l'un des Etats membres de l'Union européenne.</w:t>
      </w:r>
    </w:p>
    <w:p w14:paraId="0CC8059E" w14:textId="5F8D2698"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Par dérogation aux dispositions des précédents alinéas, les obligations convertibles en actions, lorsqu'elles présentent à l'achat un taux actuariel négatif, ce taux étant calculé sans prise en compte de l'exercice de l'option, peuvent être comptabilisées conformément à l'article DEL</w:t>
      </w:r>
      <w:r w:rsidR="004233F3">
        <w:rPr>
          <w:rFonts w:ascii="Times New Roman" w:hAnsi="Times New Roman" w:cs="Times New Roman"/>
          <w:sz w:val="24"/>
          <w:szCs w:val="24"/>
        </w:rPr>
        <w:t xml:space="preserve"> </w:t>
      </w:r>
      <w:r w:rsidRPr="00DB3519">
        <w:rPr>
          <w:rFonts w:ascii="Times New Roman" w:hAnsi="Times New Roman" w:cs="Times New Roman"/>
          <w:sz w:val="24"/>
          <w:szCs w:val="24"/>
        </w:rPr>
        <w:t>334-</w:t>
      </w:r>
      <w:r w:rsidR="004233F3">
        <w:rPr>
          <w:rFonts w:ascii="Times New Roman" w:hAnsi="Times New Roman" w:cs="Times New Roman"/>
          <w:sz w:val="24"/>
          <w:szCs w:val="24"/>
        </w:rPr>
        <w:t> </w:t>
      </w:r>
      <w:r w:rsidRPr="00DB3519">
        <w:rPr>
          <w:rFonts w:ascii="Times New Roman" w:hAnsi="Times New Roman" w:cs="Times New Roman"/>
          <w:sz w:val="24"/>
          <w:szCs w:val="24"/>
        </w:rPr>
        <w:t>14.</w:t>
      </w:r>
    </w:p>
    <w:p w14:paraId="708C3ACA" w14:textId="2F419288"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334-16</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4EB840A8"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A l'exception des valeurs inscrites conformément à l'article DEL 334-19, les placements sont inscrits au bilan sur la base du prix d'achat ou de revient, hors intérêts courus le cas échéant.</w:t>
      </w:r>
    </w:p>
    <w:p w14:paraId="0D954ED1" w14:textId="08B51473"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334-17</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33FD5CFA"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placements financiers et immobiliers font l'objet d'une évaluation sur la base de leur valeur de réalisation, dans les conditions ci-après :</w:t>
      </w:r>
    </w:p>
    <w:p w14:paraId="19E4AD60"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a)</w:t>
      </w:r>
      <w:r w:rsidRPr="00DB3519">
        <w:rPr>
          <w:rFonts w:ascii="Times New Roman" w:hAnsi="Times New Roman" w:cs="Times New Roman"/>
          <w:sz w:val="24"/>
          <w:szCs w:val="24"/>
        </w:rPr>
        <w:tab/>
        <w:t>Les valeurs mobilières cotées et les titres cotés de toute nature sont retenus pour le dernier cours coté au jour de l'inventaire ;</w:t>
      </w:r>
    </w:p>
    <w:p w14:paraId="74DC0B7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b)</w:t>
      </w:r>
      <w:r w:rsidRPr="00DB3519">
        <w:rPr>
          <w:rFonts w:ascii="Times New Roman" w:hAnsi="Times New Roman" w:cs="Times New Roman"/>
          <w:sz w:val="24"/>
          <w:szCs w:val="24"/>
        </w:rPr>
        <w:tab/>
        <w:t>Les titres non cotés et les prêts sont retenus pour leur valeur vénale correspondant au prix qui en serait obtenu dans des conditions normales de marché et en fonction de leur utilité pour l'entreprise ;</w:t>
      </w:r>
    </w:p>
    <w:p w14:paraId="38B010DF"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c)</w:t>
      </w:r>
      <w:r w:rsidRPr="00DB3519">
        <w:rPr>
          <w:rFonts w:ascii="Times New Roman" w:hAnsi="Times New Roman" w:cs="Times New Roman"/>
          <w:sz w:val="24"/>
          <w:szCs w:val="24"/>
        </w:rPr>
        <w:tab/>
        <w:t>Les actions de sociétés d'investissement à capital variable et les parts de fonds communs de placement sont retenues pour le dernier prix de rachat publié au jour de l'inventaire ;</w:t>
      </w:r>
    </w:p>
    <w:p w14:paraId="5584099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d)</w:t>
      </w:r>
      <w:r w:rsidRPr="00DB3519">
        <w:rPr>
          <w:rFonts w:ascii="Times New Roman" w:hAnsi="Times New Roman" w:cs="Times New Roman"/>
          <w:sz w:val="24"/>
          <w:szCs w:val="24"/>
        </w:rPr>
        <w:tab/>
        <w:t>Sauf dans le cas où une autre valeur résulte d'une expertise effectuée en vertu des dispositions prévues à l'article DEL 334-4, la valeur de réalisation des immeubles et des parts ou actions des sociétés immobilières ou foncières non inscrites à la cote d'une bourse de valeurs d'un Etat membre de l’OCDE est déterminée sur la base d'une expertise quinquennale effectuée par un expert accepté par la Polynésie française. Entre deux expertises, la valeur fait l'objet d'une estimation annuelle, certifiée par un expert accepté par le Président de la Polynésie française ;</w:t>
      </w:r>
    </w:p>
    <w:p w14:paraId="45719444"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e)</w:t>
      </w:r>
      <w:r w:rsidRPr="00DB3519">
        <w:rPr>
          <w:rFonts w:ascii="Times New Roman" w:hAnsi="Times New Roman" w:cs="Times New Roman"/>
          <w:sz w:val="24"/>
          <w:szCs w:val="24"/>
        </w:rPr>
        <w:tab/>
        <w:t>Les autres placements sont retenus pour leur valeur comptable déterminée conformément aux articles DEL 334-17 et DEL 334-18, sauf dans le cas où une autre valeur résulte d'une expertise effectuée en vertu des dispositions prévues à l'article DEL 334-4.</w:t>
      </w:r>
    </w:p>
    <w:p w14:paraId="3151D271"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lastRenderedPageBreak/>
        <w:t>Pour les titres inscrits en comptabilité hors coupon couru en application des articles DEL 334- 17 et DEL 334-18, il y a lieu de déduire de l'évaluation prévue au présent article les proratas d'intérêt courus depuis la dernière échéance jusqu'à la date de l'inventaire.</w:t>
      </w:r>
    </w:p>
    <w:p w14:paraId="2B02F572" w14:textId="5A88FD74"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334-18</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2B8ED954"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La valeur de réalisation des instruments financiers à terme est :</w:t>
      </w:r>
    </w:p>
    <w:p w14:paraId="223426DC"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a)</w:t>
      </w:r>
      <w:r w:rsidRPr="00DB3519">
        <w:rPr>
          <w:rFonts w:ascii="Times New Roman" w:hAnsi="Times New Roman" w:cs="Times New Roman"/>
          <w:sz w:val="24"/>
          <w:szCs w:val="24"/>
        </w:rPr>
        <w:tab/>
        <w:t>Pour les instruments financiers à terme échangés sur des marchés réglementés, la valeur de la dernière cotation ;</w:t>
      </w:r>
    </w:p>
    <w:p w14:paraId="45C39A5E"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b)</w:t>
      </w:r>
      <w:r w:rsidRPr="00DB3519">
        <w:rPr>
          <w:rFonts w:ascii="Times New Roman" w:hAnsi="Times New Roman" w:cs="Times New Roman"/>
          <w:sz w:val="24"/>
          <w:szCs w:val="24"/>
        </w:rPr>
        <w:tab/>
        <w:t>Pour les instruments échangés de gré à gré, le coût de remplacement, évalué par au moins deux organismes n'appartenant pas au même groupe. Un des organismes peut être l'entreprise elle-même, sauf opposition du gouvernement de la Polynésie française.</w:t>
      </w:r>
    </w:p>
    <w:p w14:paraId="7C05D6D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Les organismes habilités à cette évaluation sont les établissements de crédit, les entreprises d'investissement ou, sur décision du gouvernement, des organismes spécialisés.</w:t>
      </w:r>
    </w:p>
    <w:p w14:paraId="070F2BDB" w14:textId="6F5E2ACC"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334-19</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6C1223E2"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Par dérogation aux dispositions des articles DEL 334-17 et DEL 334-18, les placements admis en représentation des contrats d'assurance sur la vie ou de capitalisation à capital variable, dans lesquels la somme assurée est déterminée par rapport à une valeur de référence, font l'objet d'une estimation séparée et sont inscrits au bilan pour leur valeur au jour de l'inventaire.</w:t>
      </w:r>
    </w:p>
    <w:p w14:paraId="0EF77F34" w14:textId="3D95524B" w:rsidR="00DB3519" w:rsidRPr="00DB3519" w:rsidRDefault="00DB3519" w:rsidP="00DB3519">
      <w:pPr>
        <w:spacing w:before="120" w:after="0"/>
        <w:jc w:val="both"/>
        <w:rPr>
          <w:rFonts w:ascii="Times New Roman" w:hAnsi="Times New Roman" w:cs="Times New Roman"/>
          <w:sz w:val="24"/>
          <w:szCs w:val="24"/>
        </w:rPr>
      </w:pPr>
      <w:r w:rsidRPr="00302C88">
        <w:rPr>
          <w:rFonts w:ascii="Times New Roman" w:hAnsi="Times New Roman" w:cs="Times New Roman"/>
          <w:b/>
          <w:sz w:val="24"/>
          <w:szCs w:val="24"/>
        </w:rPr>
        <w:t>Article DEL 334-20</w:t>
      </w:r>
      <w:r w:rsidR="00302C88">
        <w:rPr>
          <w:rFonts w:ascii="Times New Roman" w:hAnsi="Times New Roman" w:cs="Times New Roman"/>
          <w:sz w:val="24"/>
          <w:szCs w:val="24"/>
        </w:rPr>
        <w:t xml:space="preserve"> </w:t>
      </w:r>
      <w:r w:rsidR="00302C88" w:rsidRPr="003C3C7C">
        <w:rPr>
          <w:rFonts w:ascii="Times New Roman" w:hAnsi="Times New Roman" w:cs="Times New Roman"/>
          <w:sz w:val="24"/>
          <w:szCs w:val="24"/>
        </w:rPr>
        <w:t>(rédaction issue de Délibération n° 2025-94 APF du 27 août 2025)</w:t>
      </w:r>
    </w:p>
    <w:p w14:paraId="47D7A929" w14:textId="77777777" w:rsidR="00DB3519" w:rsidRPr="00DB3519" w:rsidRDefault="00DB3519" w:rsidP="00DB3519">
      <w:pPr>
        <w:spacing w:before="120" w:after="0"/>
        <w:jc w:val="both"/>
        <w:rPr>
          <w:rFonts w:ascii="Times New Roman" w:hAnsi="Times New Roman" w:cs="Times New Roman"/>
          <w:sz w:val="24"/>
          <w:szCs w:val="24"/>
        </w:rPr>
      </w:pPr>
      <w:r w:rsidRPr="00DB3519">
        <w:rPr>
          <w:rFonts w:ascii="Times New Roman" w:hAnsi="Times New Roman" w:cs="Times New Roman"/>
          <w:sz w:val="24"/>
          <w:szCs w:val="24"/>
        </w:rPr>
        <w:t>Lorsqu’une entreprise mentionnée à l’article DEL 334-2 a émis des emprunts, il est porté chaque année dans ses charges une somme constante destinée au paiement des intérêts et au remboursement des emprunts ou à la constitution de la réserve pour l'amortissement des emprunts. Cette obligation ne s'applique pas aux titres et emprunts subordonnés.</w:t>
      </w:r>
    </w:p>
    <w:p w14:paraId="5A145D30" w14:textId="77777777" w:rsidR="00DB3519" w:rsidRDefault="00DB3519" w:rsidP="00DB3519">
      <w:pPr>
        <w:spacing w:after="0" w:line="240" w:lineRule="auto"/>
        <w:rPr>
          <w:rFonts w:ascii="Times New Roman" w:eastAsia="Times New Roman" w:hAnsi="Times New Roman" w:cs="Times New Roman"/>
          <w:b/>
          <w:bCs/>
          <w:caps/>
          <w:sz w:val="21"/>
          <w:szCs w:val="21"/>
          <w:lang w:eastAsia="fr-FR"/>
        </w:rPr>
      </w:pPr>
    </w:p>
    <w:p w14:paraId="490C4F86" w14:textId="28BA5516" w:rsidR="006942AF" w:rsidRDefault="006942AF">
      <w:pPr>
        <w:rPr>
          <w:rFonts w:ascii="Times New Roman" w:eastAsia="Times New Roman" w:hAnsi="Times New Roman" w:cs="Times New Roman"/>
          <w:b/>
          <w:bCs/>
          <w:caps/>
          <w:sz w:val="21"/>
          <w:szCs w:val="21"/>
          <w:lang w:eastAsia="fr-FR"/>
        </w:rPr>
      </w:pPr>
      <w:r>
        <w:rPr>
          <w:rFonts w:ascii="Times New Roman" w:eastAsia="Times New Roman" w:hAnsi="Times New Roman" w:cs="Times New Roman"/>
          <w:b/>
          <w:bCs/>
          <w:caps/>
          <w:sz w:val="21"/>
          <w:szCs w:val="21"/>
          <w:lang w:eastAsia="fr-FR"/>
        </w:rPr>
        <w:br w:type="page"/>
      </w:r>
    </w:p>
    <w:p w14:paraId="0F5F0590" w14:textId="77777777" w:rsidR="006942AF" w:rsidRDefault="006942AF" w:rsidP="00467CCF">
      <w:pPr>
        <w:spacing w:after="0" w:line="240" w:lineRule="auto"/>
        <w:jc w:val="center"/>
        <w:rPr>
          <w:rFonts w:ascii="Times New Roman" w:eastAsia="Times New Roman" w:hAnsi="Times New Roman" w:cs="Times New Roman"/>
          <w:b/>
          <w:bCs/>
          <w:caps/>
          <w:sz w:val="21"/>
          <w:szCs w:val="21"/>
          <w:lang w:eastAsia="fr-FR"/>
        </w:rPr>
      </w:pPr>
    </w:p>
    <w:p w14:paraId="3CDDEC2D" w14:textId="77777777" w:rsidR="006942AF" w:rsidRDefault="006942AF" w:rsidP="00467CCF">
      <w:pPr>
        <w:spacing w:after="0" w:line="240" w:lineRule="auto"/>
        <w:jc w:val="center"/>
        <w:rPr>
          <w:rFonts w:ascii="Times New Roman" w:eastAsia="Times New Roman" w:hAnsi="Times New Roman" w:cs="Times New Roman"/>
          <w:b/>
          <w:bCs/>
          <w:caps/>
          <w:sz w:val="21"/>
          <w:szCs w:val="21"/>
          <w:lang w:eastAsia="fr-FR"/>
        </w:rPr>
      </w:pPr>
    </w:p>
    <w:p w14:paraId="63DF751D" w14:textId="2482D71F" w:rsid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Livre IV - Organisations et régimes particuliers d’assurance</w:t>
      </w:r>
    </w:p>
    <w:p w14:paraId="4A838BDD" w14:textId="77777777" w:rsidR="00302C88" w:rsidRPr="00467CCF" w:rsidRDefault="00302C88" w:rsidP="00467CCF">
      <w:pPr>
        <w:spacing w:after="0" w:line="240" w:lineRule="auto"/>
        <w:jc w:val="center"/>
        <w:rPr>
          <w:rFonts w:ascii="Times New Roman" w:eastAsia="Times New Roman" w:hAnsi="Times New Roman" w:cs="Times New Roman"/>
          <w:b/>
          <w:bCs/>
          <w:caps/>
          <w:sz w:val="21"/>
          <w:szCs w:val="21"/>
          <w:lang w:eastAsia="fr-FR"/>
        </w:rPr>
      </w:pPr>
    </w:p>
    <w:p w14:paraId="0E9CB5A0" w14:textId="339981B1" w:rsid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Titre II - Le fonds de garantie</w:t>
      </w:r>
    </w:p>
    <w:p w14:paraId="23112610" w14:textId="77777777" w:rsidR="00302C88" w:rsidRPr="00467CCF" w:rsidRDefault="00302C88" w:rsidP="00467CCF">
      <w:pPr>
        <w:spacing w:after="0" w:line="240" w:lineRule="auto"/>
        <w:jc w:val="center"/>
        <w:rPr>
          <w:rFonts w:ascii="Times New Roman" w:eastAsia="Times New Roman" w:hAnsi="Times New Roman" w:cs="Times New Roman"/>
          <w:b/>
          <w:bCs/>
          <w:caps/>
          <w:sz w:val="21"/>
          <w:szCs w:val="21"/>
          <w:lang w:eastAsia="fr-FR"/>
        </w:rPr>
      </w:pPr>
    </w:p>
    <w:p w14:paraId="2CF077AB" w14:textId="63EE0795" w:rsidR="00467CCF" w:rsidRDefault="00467CCF" w:rsidP="00467CCF">
      <w:pPr>
        <w:spacing w:after="0" w:line="240" w:lineRule="auto"/>
        <w:jc w:val="center"/>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unique</w:t>
      </w:r>
    </w:p>
    <w:p w14:paraId="3DA5BBD1" w14:textId="77777777" w:rsidR="00302C88" w:rsidRPr="00467CCF" w:rsidRDefault="00302C88" w:rsidP="00467CCF">
      <w:pPr>
        <w:spacing w:after="0" w:line="240" w:lineRule="auto"/>
        <w:jc w:val="center"/>
        <w:rPr>
          <w:rFonts w:ascii="Times New Roman" w:eastAsia="Times New Roman" w:hAnsi="Times New Roman" w:cs="Times New Roman"/>
          <w:b/>
          <w:bCs/>
          <w:caps/>
          <w:sz w:val="21"/>
          <w:szCs w:val="21"/>
          <w:lang w:eastAsia="fr-FR"/>
        </w:rPr>
      </w:pPr>
    </w:p>
    <w:p w14:paraId="202BABF9" w14:textId="1A230EDB" w:rsid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1 - Dispositions spéciales aux accidents d'automobile survenus en France métropolitaine et dans les départements d'outre-mer</w:t>
      </w:r>
    </w:p>
    <w:p w14:paraId="4DFD9770" w14:textId="77777777" w:rsidR="00302C88" w:rsidRPr="00467CCF" w:rsidRDefault="00302C88" w:rsidP="00467CCF">
      <w:pPr>
        <w:spacing w:after="0" w:line="240" w:lineRule="auto"/>
        <w:jc w:val="center"/>
        <w:rPr>
          <w:rFonts w:ascii="Times New Roman" w:eastAsia="Times New Roman" w:hAnsi="Times New Roman" w:cs="Times New Roman"/>
          <w:b/>
          <w:bCs/>
          <w:caps/>
          <w:sz w:val="20"/>
          <w:szCs w:val="20"/>
          <w:lang w:eastAsia="fr-FR"/>
        </w:rPr>
      </w:pPr>
    </w:p>
    <w:p w14:paraId="4671228F"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420-1</w:t>
      </w:r>
    </w:p>
    <w:p w14:paraId="7D479D24"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Sont prises en charge par le fonds de garantie les indemnités dues aux victimes d'accidents corporels ou à leurs ayants droit à la condition que ces accidents soient survenus en France métropolitaine ou dans les départements d'outre-mer et aient été causés par un ou plusieurs des véhicules définis à l'article L. 420-1 ou par leurs remorques ou semi-remorques.</w:t>
      </w:r>
      <w:r w:rsidRPr="00467CCF">
        <w:rPr>
          <w:rFonts w:ascii="Times New Roman" w:eastAsia="Times New Roman" w:hAnsi="Times New Roman" w:cs="Times New Roman"/>
          <w:sz w:val="18"/>
          <w:szCs w:val="18"/>
          <w:lang w:eastAsia="fr-FR"/>
        </w:rPr>
        <w:br/>
        <w:t>Sont également prises en charge par le fonds de garantie les indemnités dues à la suite de dommages matériels causés aux tiers par un ou plusieurs véhicules définis à l'article L. 420-1 lorsque l'auteur identifié de ces dommages n'est pas assuré et se révèle totalement ou partiellement insolvable.</w:t>
      </w:r>
      <w:r w:rsidRPr="00467CCF">
        <w:rPr>
          <w:rFonts w:ascii="Times New Roman" w:eastAsia="Times New Roman" w:hAnsi="Times New Roman" w:cs="Times New Roman"/>
          <w:sz w:val="18"/>
          <w:szCs w:val="18"/>
          <w:lang w:eastAsia="fr-FR"/>
        </w:rPr>
        <w:br/>
        <w:t>Toutefois, lorsque l'indemnisation des victimes incombe au bureau central français, ne sont pas prises en charge par le fonds de garantie les indemnités dues aux victimes d'accidents causés par des véhicules ayant leur stationnement habituel sur le territoire d'un des Etats membres de la Communauté économique européenne autres que la France, ou sur le territoire d'un des Etats suivants : Saint-Siège, Saint-Marin, Autriche, Finlande, Norvège, Suède, Suisse et Liechtenstein.</w:t>
      </w:r>
      <w:r w:rsidRPr="00467CCF">
        <w:rPr>
          <w:rFonts w:ascii="Times New Roman" w:eastAsia="Times New Roman" w:hAnsi="Times New Roman" w:cs="Times New Roman"/>
          <w:sz w:val="18"/>
          <w:szCs w:val="18"/>
          <w:lang w:eastAsia="fr-FR"/>
        </w:rPr>
        <w:br/>
        <w:t>Le bureau central français est le bureau national d'assurance constitué en France dans les conditions mentionnées au deuxième alinéa de l'article R. 211-22.</w:t>
      </w:r>
    </w:p>
    <w:p w14:paraId="3F645C1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420-2</w:t>
      </w:r>
    </w:p>
    <w:p w14:paraId="082D1142"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Sont exclus du bénéfice du fonds de garantie :</w:t>
      </w:r>
      <w:r w:rsidRPr="00467CCF">
        <w:rPr>
          <w:rFonts w:ascii="Times New Roman" w:eastAsia="Times New Roman" w:hAnsi="Times New Roman" w:cs="Times New Roman"/>
          <w:sz w:val="18"/>
          <w:szCs w:val="18"/>
          <w:lang w:eastAsia="fr-FR"/>
        </w:rPr>
        <w:br/>
        <w:t>a) Le propriétaire, hormis le cas où le véhicule a été volé, le conducteur et d'une façon générale toute personne qui a la garde du véhicule au moment de l'accident ;</w:t>
      </w:r>
      <w:r w:rsidRPr="00467CCF">
        <w:rPr>
          <w:rFonts w:ascii="Times New Roman" w:eastAsia="Times New Roman" w:hAnsi="Times New Roman" w:cs="Times New Roman"/>
          <w:sz w:val="18"/>
          <w:szCs w:val="18"/>
          <w:lang w:eastAsia="fr-FR"/>
        </w:rPr>
        <w:br/>
        <w:t>b) Lorsqu'ils sont transportés dans le véhicule, le conjoint, les ascendants et descendants des personnes mentionnées au a ci-dessus et dont la responsabilité est engagée du fait de l'accident ainsi que les représentants légaux de la personne morale propriétaire du véhicule.</w:t>
      </w:r>
      <w:r w:rsidRPr="00467CCF">
        <w:rPr>
          <w:rFonts w:ascii="Times New Roman" w:eastAsia="Times New Roman" w:hAnsi="Times New Roman" w:cs="Times New Roman"/>
          <w:sz w:val="18"/>
          <w:szCs w:val="18"/>
          <w:lang w:eastAsia="fr-FR"/>
        </w:rPr>
        <w:br/>
        <w:t>Lorsque le véhicule a été volé, sont également exclus les complices et, d'une manière générale, toutes les personnes transportées si elles ne peuvent justifier de leur bonne foi.</w:t>
      </w:r>
      <w:r w:rsidRPr="00467CCF">
        <w:rPr>
          <w:rFonts w:ascii="Times New Roman" w:eastAsia="Times New Roman" w:hAnsi="Times New Roman" w:cs="Times New Roman"/>
          <w:sz w:val="18"/>
          <w:szCs w:val="18"/>
          <w:lang w:eastAsia="fr-FR"/>
        </w:rPr>
        <w:br/>
        <w:t>Toutefois, les personnes désignées au présent article peuvent invoquer la garantie du fonds lorsque l'accident causé par un autre véhicule automobile engage la responsabilité de celui qui en a la garde et dans la mesure de cette responsabilité.</w:t>
      </w:r>
    </w:p>
    <w:p w14:paraId="43FBC7F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w:t>
      </w:r>
    </w:p>
    <w:p w14:paraId="2D3381BC"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Si l'auteur d'un accident corporel est inconnu, le procès-verbal ou le rapport dressé ou établi par les agents de la force publique et relatif à cet accident doit mentionner expressément cette circonstance.</w:t>
      </w:r>
      <w:r w:rsidRPr="00467CCF">
        <w:rPr>
          <w:rFonts w:ascii="Times New Roman" w:eastAsia="Times New Roman" w:hAnsi="Times New Roman" w:cs="Times New Roman"/>
          <w:sz w:val="18"/>
          <w:szCs w:val="18"/>
          <w:lang w:eastAsia="fr-FR"/>
        </w:rPr>
        <w:br/>
        <w:t>Dans le cas où l'auteur est connu et sur les déclarations que celui-ci est tenu de faire, le même document indique obligatoirement si ledit auteur est assuré contre les accidents. Dans l'affirmative, il précise le nom et l'adresse de l'entreprise d'assurance ainsi que le numéro de la police.</w:t>
      </w:r>
      <w:r w:rsidRPr="00467CCF">
        <w:rPr>
          <w:rFonts w:ascii="Times New Roman" w:eastAsia="Times New Roman" w:hAnsi="Times New Roman" w:cs="Times New Roman"/>
          <w:sz w:val="18"/>
          <w:szCs w:val="18"/>
          <w:lang w:eastAsia="fr-FR"/>
        </w:rPr>
        <w:br/>
        <w:t>Toute omission volontaire de déclaration ou fausse déclaration faite de mauvaise foi sera punie d'une amende de 40 à 160 F.</w:t>
      </w:r>
      <w:r w:rsidRPr="00467CCF">
        <w:rPr>
          <w:rFonts w:ascii="Times New Roman" w:eastAsia="Times New Roman" w:hAnsi="Times New Roman" w:cs="Times New Roman"/>
          <w:sz w:val="18"/>
          <w:szCs w:val="18"/>
          <w:lang w:eastAsia="fr-FR"/>
        </w:rPr>
        <w:br/>
        <w:t>Si un ou plusieurs des renseignements prévus au second alinéa sont ignorés de l'auteur de l'accident au moment de l'établissement du procès-verbal ou du rapport, cette circonstance est mentionnée, ainsi que l'engagement qui doit avoir été pris par ledit auteur de faire parvenir ces renseignements sous huitaine. Dans ce cas, il est dressé ultérieurement un procès-verbal ou rapport complémentaire.</w:t>
      </w:r>
      <w:r w:rsidRPr="00467CCF">
        <w:rPr>
          <w:rFonts w:ascii="Times New Roman" w:eastAsia="Times New Roman" w:hAnsi="Times New Roman" w:cs="Times New Roman"/>
          <w:sz w:val="18"/>
          <w:szCs w:val="18"/>
          <w:lang w:eastAsia="fr-FR"/>
        </w:rPr>
        <w:br/>
        <w:t>Un exemplaire de tout procès-verbal ou rapport relatif à un accident corporel causé par un auteur inconnu ou non assuré est transmis au fonds de garantie dans les dix jours de sa date par les autorités de police ou de gendarmerie.</w:t>
      </w:r>
    </w:p>
    <w:p w14:paraId="2C04E0D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w:t>
      </w:r>
    </w:p>
    <w:p w14:paraId="52316B65"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dispositions des articles R. 420-2 et R. 420-21 à R. 420-23 sont applicables à l'indemnisation par le fonds de garantie des dommages matériels mentionnés à l'article R. 420-1.</w:t>
      </w:r>
      <w:r w:rsidRPr="00467CCF">
        <w:rPr>
          <w:rFonts w:ascii="Times New Roman" w:eastAsia="Times New Roman" w:hAnsi="Times New Roman" w:cs="Times New Roman"/>
          <w:sz w:val="18"/>
          <w:szCs w:val="18"/>
          <w:lang w:eastAsia="fr-FR"/>
        </w:rPr>
        <w:br/>
        <w:t xml:space="preserve">Lorsqu'un contrat d'assurance a été souscrit pour garantir les conséquences pécuniaires de la responsabilité civile découlant de </w:t>
      </w:r>
      <w:r w:rsidRPr="00467CCF">
        <w:rPr>
          <w:rFonts w:ascii="Times New Roman" w:eastAsia="Times New Roman" w:hAnsi="Times New Roman" w:cs="Times New Roman"/>
          <w:sz w:val="18"/>
          <w:szCs w:val="18"/>
          <w:lang w:eastAsia="fr-FR"/>
        </w:rPr>
        <w:lastRenderedPageBreak/>
        <w:t>l'emploi du véhicule qui a causé les dommages matériels, le fonds de garantie ne peut être appelé à indemniser la victime ou ses ayants droit qu'en cas de nullité du contrat, de suspension du contrat ou de la garantie ; de non-assurance ou d'assurance partielle, opposables à la victime ou à ses ayants droit. L'assureur doit déclarer sans délai au fonds de garantie les accidents pour lesquels il entend invoquer une de ces exceptions. Il doit en aviser la victime ou ses ayants droit en précisant le numéro de la police.</w:t>
      </w:r>
    </w:p>
    <w:p w14:paraId="4CF1E7BE"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w:t>
      </w:r>
    </w:p>
    <w:p w14:paraId="77544CFF"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L'indemnisation des dommages matériels par le fonds de garantie supporte un abattement de 1 000 F par victime et ne peut excéder la somme de 1 million de francs par événement.</w:t>
      </w:r>
    </w:p>
    <w:p w14:paraId="781ABED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420-6</w:t>
      </w:r>
    </w:p>
    <w:p w14:paraId="3517D64F"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espèces, valeurs mobilières et objets considérés comme précieux ne donnent pas lieu à indemnisation.</w:t>
      </w:r>
      <w:r w:rsidRPr="00467CCF">
        <w:rPr>
          <w:rFonts w:ascii="Times New Roman" w:eastAsia="Times New Roman" w:hAnsi="Times New Roman" w:cs="Times New Roman"/>
          <w:sz w:val="18"/>
          <w:szCs w:val="18"/>
          <w:lang w:eastAsia="fr-FR"/>
        </w:rPr>
        <w:br/>
        <w:t>L'indemnisation des dommages occasionnés à des effets et objets personnels ne peut excéder 3 000 F par victime.</w:t>
      </w:r>
    </w:p>
    <w:p w14:paraId="6E8561F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420-7</w:t>
      </w:r>
    </w:p>
    <w:p w14:paraId="0E0B8B89"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Pour bénéficier des dispositions de l'article R. 420-1, toute victime de dommages matériels mentionnés audit article doit, sous peine de déchéance de ses droits éventuels à l'encontre du fonds de garantie, adresser audit fonds une déclaration accompagnée d'un état descriptif des dommages dans un délai d'un mois à compter du jour de l'accident ou du jour où elle a eu connaissance de l'absence ou de l'insuffisance d'assurance ou de garantie de la personne présumée responsable des dommages.</w:t>
      </w:r>
      <w:r w:rsidRPr="00467CCF">
        <w:rPr>
          <w:rFonts w:ascii="Times New Roman" w:eastAsia="Times New Roman" w:hAnsi="Times New Roman" w:cs="Times New Roman"/>
          <w:sz w:val="18"/>
          <w:szCs w:val="18"/>
          <w:lang w:eastAsia="fr-FR"/>
        </w:rPr>
        <w:br/>
        <w:t>Toutefois, lorsque la victime de l'accident a subi à la fois des dommages corporels et des dommages matériels, l'absence de la déclaration mentionnée à l'alinéa précédent n'entraîne pas déchéance de ses droits à l’encontre du fonds de garantie, sous réserve que la demande d'indemnité, en ce qui concerne les dommages matériels, soit adressée au fonds dans le délai d'un an mentionné à l'article R. 420-19.</w:t>
      </w:r>
      <w:r w:rsidRPr="00467CCF">
        <w:rPr>
          <w:rFonts w:ascii="Times New Roman" w:eastAsia="Times New Roman" w:hAnsi="Times New Roman" w:cs="Times New Roman"/>
          <w:sz w:val="18"/>
          <w:szCs w:val="18"/>
          <w:lang w:eastAsia="fr-FR"/>
        </w:rPr>
        <w:br/>
        <w:t>Dans tous les cas, la demande d'indemnité doit être présentée au fonds de garantie dans les conditions fixées à l'article R. 420-20.</w:t>
      </w:r>
      <w:r w:rsidRPr="00467CCF">
        <w:rPr>
          <w:rFonts w:ascii="Times New Roman" w:eastAsia="Times New Roman" w:hAnsi="Times New Roman" w:cs="Times New Roman"/>
          <w:sz w:val="18"/>
          <w:szCs w:val="18"/>
          <w:lang w:eastAsia="fr-FR"/>
        </w:rPr>
        <w:br/>
        <w:t>Les dispositions des articles R. 420-11 à R. 420-18 sont applicables à l'indemnisation des dommages matériels de la victime d'un accident qui a subi également des dommages corporels.</w:t>
      </w:r>
    </w:p>
    <w:p w14:paraId="6BF4BBBE"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3 - Dispositions communes aux accidents d’automobile survenus en France métropolitaine et dans les départements d’outre-mer, et aux accidents de chasse survenus en France métropolitaine</w:t>
      </w:r>
    </w:p>
    <w:p w14:paraId="26D351F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420-11</w:t>
      </w:r>
    </w:p>
    <w:p w14:paraId="13FC914E"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Lorsqu'un contrat d'assurance a été souscrit pour garantir les conséquences pécuniaires de la responsabilité civile découlant de l'emploi du véhicule qui a causé l'accident, ou celle de l'auteur d'un accident résultant d'actes de chasse ou de destruction d'animaux nuisibles, le fonds de garantie ne peut être appelé, sauf insolvabilité de l'assureur, à payer l'indemnité allouée à la victime ou à ses ayants droit qu'en cas de nullité du contrat, de suspension du contrat ou de la garantie, de non-assurance ou d'assurance partielle, opposables à la victime ou à ses ayants droit.</w:t>
      </w:r>
      <w:r w:rsidRPr="00467CCF">
        <w:rPr>
          <w:rFonts w:ascii="Times New Roman" w:eastAsia="Times New Roman" w:hAnsi="Times New Roman" w:cs="Times New Roman"/>
          <w:sz w:val="18"/>
          <w:szCs w:val="18"/>
          <w:lang w:eastAsia="fr-FR"/>
        </w:rPr>
        <w:br/>
        <w:t>Dans le cas où, par suite de l'insuffisance du montant de la garantie stipulée au contrat, une part de l'indemnité due à la victime ou à ses ayants droit pour les dommages résultant de l'accident corporel, reste à la charge du responsable et si celui-ci n'accepte pas de se libérer, en même temps que son assureur, de la part d'indemnité restant à sa charge, ce dernier lui envoie au nom de la victime ou de ses ayants droit la sommation prévue à l'article R. 420-20. Si cette sommation n'a pas été suivie d'effet à l'expiration d'un délai d'un mois, l'assureur, après avoir recueilli, en cas de règlement transactionnel, l'accord du fonds de garantie, verse pour le compte de ce dernier le reliquat de l'indemnité et l'avise de ce versement.</w:t>
      </w:r>
    </w:p>
    <w:p w14:paraId="5B5F1AA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420-12</w:t>
      </w:r>
    </w:p>
    <w:p w14:paraId="6A8D5C4A"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Lorsque l'assureur entend invoquer la nullité du contrat d'assurance, sa suspension ou la suspension de la garantie, une non-assurance ou une assurance partielle, opposables à la victime ou à ses ayants droit, il doit, par lettre recommandée avec demande d'avis de réception, le déclarer au fonds de garantie ; il doit en aviser en même temps et dans les mêmes formes la victime ou ses ayants droit en précisant le numéro de la police.</w:t>
      </w:r>
      <w:r w:rsidRPr="00467CCF">
        <w:rPr>
          <w:rFonts w:ascii="Times New Roman" w:eastAsia="Times New Roman" w:hAnsi="Times New Roman" w:cs="Times New Roman"/>
          <w:sz w:val="18"/>
          <w:szCs w:val="18"/>
          <w:lang w:eastAsia="fr-FR"/>
        </w:rPr>
        <w:br/>
        <w:t>Si l'assureur entend contester l'existence du contrat d'assurance, nonobstant la présentation par le responsable de l'accident du document justificatif mentionné à l'article R. 211-15, il doit d'une part le déclarer sans délai au fonds de garantie par lettre recommandée avec demande d'avis de réception et d'autre part en aviser en même temps et dans les mêmes formes la victime ou ses ayants droit.</w:t>
      </w:r>
    </w:p>
    <w:p w14:paraId="4C1A7FD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lastRenderedPageBreak/>
        <w:t>Art. R. 420-13</w:t>
      </w:r>
    </w:p>
    <w:p w14:paraId="2FA81A3A"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Si le fonds de garantie entend contester le bien-fondé d'une des exceptions mentionnées à l'article R. 420-12, invoquée par l'assureur, ou s'il n'est pas en mesure de prendre une décision définitive à ce sujet, il doit, dans un délai de trois mois à compter de la réception de la déclaration, en aviser l'assureur ainsi que la victime ou ses ayants droit. Il leur donne également son avis sur la recevabilité à son encontre d'une demande d'indemnisation de la victime ou de ses ayants droit pour le cas où l'exception invoquée par l'assureur serait reconnue fondée.</w:t>
      </w:r>
    </w:p>
    <w:p w14:paraId="5F02EDD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420-14</w:t>
      </w:r>
    </w:p>
    <w:p w14:paraId="0E6B8250"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Lorsque, dans l'hypothèse prévue à l'article R. 420-13, la demande d'indemnité est portée devant une juridiction autre qu'une juridiction répressive, la victime ou ses ayants droit doivent en cas d'action dirigée, soit contre l'assureur, soit contre le responsable, mettre en cause, suivant le cas, le responsable ou l'assureur.</w:t>
      </w:r>
    </w:p>
    <w:p w14:paraId="4D7300CB"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420-15</w:t>
      </w:r>
    </w:p>
    <w:p w14:paraId="4FF23B65"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Si la demande d'indemnité a été portée devant une juridiction répressive ou si une transaction approuvée par le fonds de garantie est intervenue avec le responsable de l'accident, la victime ou ses ayants droit peuvent demander à l'assureur le paiement des sommes qui leur seraient versées par le fonds si le règlement était effectué par ce dernier, à la condition de justifier :</w:t>
      </w:r>
      <w:r w:rsidRPr="00467CCF">
        <w:rPr>
          <w:rFonts w:ascii="Times New Roman" w:eastAsia="Times New Roman" w:hAnsi="Times New Roman" w:cs="Times New Roman"/>
          <w:sz w:val="18"/>
          <w:szCs w:val="18"/>
          <w:lang w:eastAsia="fr-FR"/>
        </w:rPr>
        <w:br/>
        <w:t>1° Que le fonds de garantie leur a fait connaître, conformément à l'article R. 420-13 :</w:t>
      </w:r>
      <w:r w:rsidRPr="00467CCF">
        <w:rPr>
          <w:rFonts w:ascii="Times New Roman" w:eastAsia="Times New Roman" w:hAnsi="Times New Roman" w:cs="Times New Roman"/>
          <w:sz w:val="18"/>
          <w:szCs w:val="18"/>
          <w:lang w:eastAsia="fr-FR"/>
        </w:rPr>
        <w:br/>
        <w:t>a) Qu'il conteste le bien-fondé de l'exception invoquée par l'assureur ou qu'il n'est pas en mesure de prendre une décision définitive à ce sujet ;</w:t>
      </w:r>
      <w:r w:rsidRPr="00467CCF">
        <w:rPr>
          <w:rFonts w:ascii="Times New Roman" w:eastAsia="Times New Roman" w:hAnsi="Times New Roman" w:cs="Times New Roman"/>
          <w:sz w:val="18"/>
          <w:szCs w:val="18"/>
          <w:lang w:eastAsia="fr-FR"/>
        </w:rPr>
        <w:br/>
        <w:t>b) Qu'en l'absence de garantie de l'assureur, ils seraient admis à bénéficier de la garantie dudit fonds.</w:t>
      </w:r>
      <w:r w:rsidRPr="00467CCF">
        <w:rPr>
          <w:rFonts w:ascii="Times New Roman" w:eastAsia="Times New Roman" w:hAnsi="Times New Roman" w:cs="Times New Roman"/>
          <w:sz w:val="18"/>
          <w:szCs w:val="18"/>
          <w:lang w:eastAsia="fr-FR"/>
        </w:rPr>
        <w:br/>
        <w:t>2° Que le montant de l'indemnité a été fixé par une décision de justice exécutoire opposable au fonds ou par une transaction approuvée par lui.</w:t>
      </w:r>
      <w:r w:rsidRPr="00467CCF">
        <w:rPr>
          <w:rFonts w:ascii="Times New Roman" w:eastAsia="Times New Roman" w:hAnsi="Times New Roman" w:cs="Times New Roman"/>
          <w:sz w:val="18"/>
          <w:szCs w:val="18"/>
          <w:lang w:eastAsia="fr-FR"/>
        </w:rPr>
        <w:br/>
        <w:t>L'assureur est alors tenu de procéder au paiement des sommes susmentionnées pour le compte de qui il appartiendra. S'il n'exécute pas cette obligation, il peut y être contraint par une ordonnance rendue par le juge des référés à la requête de la victime ou de ses ayants droit.</w:t>
      </w:r>
      <w:r w:rsidRPr="00467CCF">
        <w:rPr>
          <w:rFonts w:ascii="Times New Roman" w:eastAsia="Times New Roman" w:hAnsi="Times New Roman" w:cs="Times New Roman"/>
          <w:sz w:val="18"/>
          <w:szCs w:val="18"/>
          <w:lang w:eastAsia="fr-FR"/>
        </w:rPr>
        <w:br/>
        <w:t>Lorsque de bien-fondé de l'exception par lui opposée est reconnu soit par accord avec le fonds de garantie, soit judiciairement, cet assureur peut réclamer au fonds de garantie le remboursement des sommes qu'il a payées pour le compte de celui-ci après établissement de l'insolvabilité totale ou partielle du responsable dans les conditions prévues à l'article R. 420-20.</w:t>
      </w:r>
    </w:p>
    <w:p w14:paraId="1ADD6EC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420-16</w:t>
      </w:r>
    </w:p>
    <w:p w14:paraId="3BEEAC85"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Si la demande d'indemnité a été portée devant une juridiction civile dans les conditions prévues à l'article R. 420-14, la victime ou ses ayants droit peuvent, lorsque sont remplies les conditions mentionnées au 1° de l'article R. 420-15, demander à l'assureur le paiement des sommes qui leur ont été allouées en application des articles 515, 771 et 808 à 811 du nouveau code de procédure civile, et qui leur seraient versées par le fonds de garantie si le règlement était effectué par ce dernier.</w:t>
      </w:r>
    </w:p>
    <w:p w14:paraId="4E5D2BF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420-17</w:t>
      </w:r>
    </w:p>
    <w:p w14:paraId="676C0DF9"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règlement intérieur mentionné à l'article R. 420-25 précise les obligations des entreprises d'assurance pour l'application des articles R. 420-11 à R. 420-16.</w:t>
      </w:r>
    </w:p>
    <w:p w14:paraId="3760FD9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420-18</w:t>
      </w:r>
    </w:p>
    <w:p w14:paraId="1EED9EE4"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Toute transaction ayant pour objet de fixer ou de régler les indemnités dues par les responsables non assurés d'accidents corporels causés par l'emploi d'un ou plusieurs des véhicules définis à l'article L. 420-1, ou par leurs remorques ou semi-remorques, ou d'accidents corporels de chasse ou de destruction des animaux nuisibles définis à l'article 366 ter du code rural, doit être notifiée au fonds de garantie par le débiteur de l'indemnité dans un délai d'un mois, par lettre recommandée avec demande d'avis de réception, sous peine d'une amende de 40 à 160 F.</w:t>
      </w:r>
    </w:p>
    <w:p w14:paraId="1CF54F2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420-19</w:t>
      </w:r>
    </w:p>
    <w:p w14:paraId="09EB0342"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Lorsque le responsable des dommages est inconnu, la demande des victimes ou de leurs ayants droit tendant à la réparation des dommages qui leur ont été causés doit être adressée au fonds de garantie dans le délai d'un an à compter de l'accident.</w:t>
      </w:r>
      <w:r w:rsidRPr="00467CCF">
        <w:rPr>
          <w:rFonts w:ascii="Times New Roman" w:eastAsia="Times New Roman" w:hAnsi="Times New Roman" w:cs="Times New Roman"/>
          <w:sz w:val="18"/>
          <w:szCs w:val="18"/>
          <w:lang w:eastAsia="fr-FR"/>
        </w:rPr>
        <w:br/>
        <w:t>Lorsque le responsable des dommages est connu, la demande d'indemnité doit être adressée au fonds de garantie dans le même délai d'un an à compter soit de la date de la transaction, soit de la date de la décision de justice passée en force de chose jugée.</w:t>
      </w:r>
      <w:r w:rsidRPr="00467CCF">
        <w:rPr>
          <w:rFonts w:ascii="Times New Roman" w:eastAsia="Times New Roman" w:hAnsi="Times New Roman" w:cs="Times New Roman"/>
          <w:sz w:val="18"/>
          <w:szCs w:val="18"/>
          <w:lang w:eastAsia="fr-FR"/>
        </w:rPr>
        <w:br/>
      </w:r>
      <w:r w:rsidRPr="00467CCF">
        <w:rPr>
          <w:rFonts w:ascii="Times New Roman" w:eastAsia="Times New Roman" w:hAnsi="Times New Roman" w:cs="Times New Roman"/>
          <w:sz w:val="18"/>
          <w:szCs w:val="18"/>
          <w:lang w:eastAsia="fr-FR"/>
        </w:rPr>
        <w:lastRenderedPageBreak/>
        <w:t>En outre, les victimes ou leurs ayants droit doivent, dans le délai de trois ans à compter de l'accident :</w:t>
      </w:r>
      <w:r w:rsidRPr="00467CCF">
        <w:rPr>
          <w:rFonts w:ascii="Times New Roman" w:eastAsia="Times New Roman" w:hAnsi="Times New Roman" w:cs="Times New Roman"/>
          <w:sz w:val="18"/>
          <w:szCs w:val="18"/>
          <w:lang w:eastAsia="fr-FR"/>
        </w:rPr>
        <w:br/>
        <w:t>a) Si le responsable est inconnu, avoir réalisé un accord avec le fonds de garantie ou exercé contre celui-ci l'action prévue à l'article R. 420-21 ;</w:t>
      </w:r>
      <w:r w:rsidRPr="00467CCF">
        <w:rPr>
          <w:rFonts w:ascii="Times New Roman" w:eastAsia="Times New Roman" w:hAnsi="Times New Roman" w:cs="Times New Roman"/>
          <w:sz w:val="18"/>
          <w:szCs w:val="18"/>
          <w:lang w:eastAsia="fr-FR"/>
        </w:rPr>
        <w:br/>
        <w:t>b) Si le responsable est connu, avoir conclu une transaction avec celui-ci ou intenté contre lui une action en justice.</w:t>
      </w:r>
      <w:r w:rsidRPr="00467CCF">
        <w:rPr>
          <w:rFonts w:ascii="Times New Roman" w:eastAsia="Times New Roman" w:hAnsi="Times New Roman" w:cs="Times New Roman"/>
          <w:sz w:val="18"/>
          <w:szCs w:val="18"/>
          <w:lang w:eastAsia="fr-FR"/>
        </w:rPr>
        <w:br/>
        <w:t>Les délais prévus aux alinéas précédents ne courent que du jour où les intéressés ont eu connaissance du dommage, s'ils prouvent qu'ils l’ont ignoré jusque-là.</w:t>
      </w:r>
      <w:r w:rsidRPr="00467CCF">
        <w:rPr>
          <w:rFonts w:ascii="Times New Roman" w:eastAsia="Times New Roman" w:hAnsi="Times New Roman" w:cs="Times New Roman"/>
          <w:sz w:val="18"/>
          <w:szCs w:val="18"/>
          <w:lang w:eastAsia="fr-FR"/>
        </w:rPr>
        <w:br/>
        <w:t>Lorsque l'indemnité consiste dans le service d'une rente ou le paiement échelonné d'un capital, la demande d'indemnité doit être adressée au fonds de garantie dans le délai d'un an à compter de la date de l'échéance pour laquelle le débiteur n'a pas fait face à sas obligations.</w:t>
      </w:r>
      <w:r w:rsidRPr="00467CCF">
        <w:rPr>
          <w:rFonts w:ascii="Times New Roman" w:eastAsia="Times New Roman" w:hAnsi="Times New Roman" w:cs="Times New Roman"/>
          <w:sz w:val="18"/>
          <w:szCs w:val="18"/>
          <w:lang w:eastAsia="fr-FR"/>
        </w:rPr>
        <w:br/>
        <w:t>Ces différents délais sont impartis à peine de forclusion, à moins que les intéressés ne prouvent qu'ils ont été dans l’impossibilité d'agir avant l'expiration desdits délais.</w:t>
      </w:r>
    </w:p>
    <w:p w14:paraId="17E8BE4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420-20</w:t>
      </w:r>
    </w:p>
    <w:p w14:paraId="56D7EE86"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victimes d'accidents ou leurs ayants droit doivent adresser au fonds de garantie leurs demandes d'indemnités par lettre recommandée avec demande d'avis de réception. A l'appui de leur demande, ils sont tenus de justifier :</w:t>
      </w:r>
      <w:r w:rsidRPr="00467CCF">
        <w:rPr>
          <w:rFonts w:ascii="Times New Roman" w:eastAsia="Times New Roman" w:hAnsi="Times New Roman" w:cs="Times New Roman"/>
          <w:sz w:val="18"/>
          <w:szCs w:val="18"/>
          <w:lang w:eastAsia="fr-FR"/>
        </w:rPr>
        <w:br/>
        <w:t>1° Soit qu'ils sont Français, soit qu'ils ont leur résidence principale sur le territoire de la République française ;</w:t>
      </w:r>
      <w:r w:rsidRPr="00467CCF">
        <w:rPr>
          <w:rFonts w:ascii="Times New Roman" w:eastAsia="Times New Roman" w:hAnsi="Times New Roman" w:cs="Times New Roman"/>
          <w:sz w:val="18"/>
          <w:szCs w:val="18"/>
          <w:lang w:eastAsia="fr-FR"/>
        </w:rPr>
        <w:br/>
        <w:t>Soit qu’ils sont ressortissants d'un Etat ayant conclu avec la France un accord de réciprocité et qu'ils remplissent les conditions fixées par cet accord ;</w:t>
      </w:r>
      <w:r w:rsidRPr="00467CCF">
        <w:rPr>
          <w:rFonts w:ascii="Times New Roman" w:eastAsia="Times New Roman" w:hAnsi="Times New Roman" w:cs="Times New Roman"/>
          <w:sz w:val="18"/>
          <w:szCs w:val="18"/>
          <w:lang w:eastAsia="fr-FR"/>
        </w:rPr>
        <w:br/>
        <w:t>Soit enfin, pour les accidents causés par l'emploi de véhicules définis à l'article L. 420-1, qu'ils sont ressortissants d'un Etat membre de la Communauté économique européenne autre que la France, du Saint-Siège, de Saint-Marin ou de Monaco, ou qu'ils ont leur résidence principale dans un de ces Etats.</w:t>
      </w:r>
      <w:r w:rsidRPr="00467CCF">
        <w:rPr>
          <w:rFonts w:ascii="Times New Roman" w:eastAsia="Times New Roman" w:hAnsi="Times New Roman" w:cs="Times New Roman"/>
          <w:sz w:val="18"/>
          <w:szCs w:val="18"/>
          <w:lang w:eastAsia="fr-FR"/>
        </w:rPr>
        <w:br/>
        <w:t>2° Que l'accident ouvre droit à réparation à leur profit dans les termes de la législation française sur la responsabilité civile et qu'il ne peut donner droit à indemnisation complète à aucun autre titre. Si la victime ou ses ayants droit peuvent prétendre à une indemnisation partielle à un autre titre, le fonds de garantie ne prend en charge que le complément.</w:t>
      </w:r>
      <w:r w:rsidRPr="00467CCF">
        <w:rPr>
          <w:rFonts w:ascii="Times New Roman" w:eastAsia="Times New Roman" w:hAnsi="Times New Roman" w:cs="Times New Roman"/>
          <w:sz w:val="18"/>
          <w:szCs w:val="18"/>
          <w:lang w:eastAsia="fr-FR"/>
        </w:rPr>
        <w:br/>
        <w:t>Les réclamants doivent également justifier soit que le responsable de l'accident n'a pu être identifié, soit qu'il s'est révélé, ainsi qu'éventuellement son assureur, totalement ou partiellement insolvable après la fixation de l'indemnité par une transaction ou une décision de justice exécutoire.</w:t>
      </w:r>
      <w:r w:rsidRPr="00467CCF">
        <w:rPr>
          <w:rFonts w:ascii="Times New Roman" w:eastAsia="Times New Roman" w:hAnsi="Times New Roman" w:cs="Times New Roman"/>
          <w:sz w:val="18"/>
          <w:szCs w:val="18"/>
          <w:lang w:eastAsia="fr-FR"/>
        </w:rPr>
        <w:br/>
        <w:t>Pour le fonds de garantie, l'insolvabilité du responsable de l'accident résulte d'une sommation de payer suivie de refus ou demeurée sans effet pendant un délai d'un mois à compter de sa signification. Celle de l'assureur résulte du retrait de l’agrément administratif.</w:t>
      </w:r>
    </w:p>
    <w:p w14:paraId="34E670E2"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420-21</w:t>
      </w:r>
    </w:p>
    <w:p w14:paraId="07855EA7"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demandes d'indemnités doivent obligatoirement être accompagnées d'une expédition de la décision de justice intervenue ou d'une copie certifiée conforme de l'acte portant règlement transactionnel pour la fixation définitive de l'indemnité.</w:t>
      </w:r>
      <w:r w:rsidRPr="00467CCF">
        <w:rPr>
          <w:rFonts w:ascii="Times New Roman" w:eastAsia="Times New Roman" w:hAnsi="Times New Roman" w:cs="Times New Roman"/>
          <w:sz w:val="18"/>
          <w:szCs w:val="18"/>
          <w:lang w:eastAsia="fr-FR"/>
        </w:rPr>
        <w:br/>
        <w:t>A défaut d'accord du fonds de garantie avec la victime ou ses ayants droit, soit sur la transaction intervenue, soit sur la fixation de l'indemnité lorsque le responsable des dommages est inconnu ou lorsque la décision de justice invoquée est inopposable au fonds de garantie, soit sur l'existence des diverses conditions d'ouverture du droit à indemnité, la victime ou ses ayants droit saisissent, suivant le taux de la demande, le tribunal d'instance ou le tribunal de grande instance. Le litige peut être porté devant la juridiction du lieu où l'accident s'est produit.</w:t>
      </w:r>
      <w:r w:rsidRPr="00467CCF">
        <w:rPr>
          <w:rFonts w:ascii="Times New Roman" w:eastAsia="Times New Roman" w:hAnsi="Times New Roman" w:cs="Times New Roman"/>
          <w:sz w:val="18"/>
          <w:szCs w:val="18"/>
          <w:lang w:eastAsia="fr-FR"/>
        </w:rPr>
        <w:br/>
        <w:t>En dehors des cas mentionnés à l'alinéa précédent et des contestations auxquelles peut donner lieu l'application des dispositions du dernier alinéa de l'article R. 420-22, le fonds de garantie ne peut être cité en justice par la victime ou ses ayants droit, notamment en déclaration de jugement commun, pour l'application de l'article L. 420-1 ou de l'article 386 ter du code rural.</w:t>
      </w:r>
    </w:p>
    <w:p w14:paraId="228CEA4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420-22</w:t>
      </w:r>
    </w:p>
    <w:p w14:paraId="1303CBA8"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fonds de garantie peut intervenir même devant les juridictions répressives et même pour la première fois en cause d'appel, en vue, notamment, de contester le principe ou le montant de l'indemnité réclamée, dans toutes les instances engagées entre les victimes d'accidents corporels ou leurs ayants droit d'une part, les responsables ou leurs assureurs d'autre part. Il intervient alors à titre principal et peut user de toutes les voies de recours ouvertes par la loi. En aucun cas, cette intervention ne peut motiver une condamnation conjointe ou solidaire du fonds de garantie et du responsable.</w:t>
      </w:r>
      <w:r w:rsidRPr="00467CCF">
        <w:rPr>
          <w:rFonts w:ascii="Times New Roman" w:eastAsia="Times New Roman" w:hAnsi="Times New Roman" w:cs="Times New Roman"/>
          <w:sz w:val="18"/>
          <w:szCs w:val="18"/>
          <w:lang w:eastAsia="fr-FR"/>
        </w:rPr>
        <w:br/>
        <w:t>Sous réserve des dispositions du quatrième alinéa du présent article, la victime ou ses ayants droit doivent adresser sans délai au fonds de garantie par lettre recommandée avec demande d'avis de réception, une copie de tout acte introductif d'instance ayant pour objet de saisir la juridiction compétente d'une demande d'indemnité dirigée contre un défendeur dont il n'est pas établi que la responsabilité civile est couverte par une assurance.</w:t>
      </w:r>
      <w:r w:rsidRPr="00467CCF">
        <w:rPr>
          <w:rFonts w:ascii="Times New Roman" w:eastAsia="Times New Roman" w:hAnsi="Times New Roman" w:cs="Times New Roman"/>
          <w:sz w:val="18"/>
          <w:szCs w:val="18"/>
          <w:lang w:eastAsia="fr-FR"/>
        </w:rPr>
        <w:br/>
        <w:t xml:space="preserve">Tout acte introductif d'instance, dont une copie doit être adressée au fonds de garantie en application de l'alinéa précédent, doit contenir les précisions suivantes : date et lieu de l'accident, nature du véhicule ou agent ou instrument du dommage, autorité ayant dressé le procès-verbal ou le rapport mentionné à l'article R. 420-3 ou à l'article R. 420-10, montant de la demande en ce qui concerne la réparation des dommages résultant de l'accident corporel ou, à défaut, nature et gravité de ces dommages. Il </w:t>
      </w:r>
      <w:r w:rsidRPr="00467CCF">
        <w:rPr>
          <w:rFonts w:ascii="Times New Roman" w:eastAsia="Times New Roman" w:hAnsi="Times New Roman" w:cs="Times New Roman"/>
          <w:sz w:val="18"/>
          <w:szCs w:val="18"/>
          <w:lang w:eastAsia="fr-FR"/>
        </w:rPr>
        <w:lastRenderedPageBreak/>
        <w:t>doit, en outre, mentionner d'après les indications contenues dans le procès-verbal ou le rapport précité, ou celles recueillies ultérieurement, notamment celles fournies par l'assureur en application du premier alinéa de l'article R. 420-12 :</w:t>
      </w:r>
      <w:r w:rsidRPr="00467CCF">
        <w:rPr>
          <w:rFonts w:ascii="Times New Roman" w:eastAsia="Times New Roman" w:hAnsi="Times New Roman" w:cs="Times New Roman"/>
          <w:sz w:val="18"/>
          <w:szCs w:val="18"/>
          <w:lang w:eastAsia="fr-FR"/>
        </w:rPr>
        <w:br/>
        <w:t>Soit que la responsabilité civile du défendeur n'est pas couverte par un contrat d'assurance ;</w:t>
      </w:r>
      <w:r w:rsidRPr="00467CCF">
        <w:rPr>
          <w:rFonts w:ascii="Times New Roman" w:eastAsia="Times New Roman" w:hAnsi="Times New Roman" w:cs="Times New Roman"/>
          <w:sz w:val="18"/>
          <w:szCs w:val="18"/>
          <w:lang w:eastAsia="fr-FR"/>
        </w:rPr>
        <w:br/>
        <w:t>Soit que l'assureur, dont les nom et adresse doivent être précisés ainsi que le numéro de la police, entend contester sa garantie ou invoquer la limitation de celle-ci ;</w:t>
      </w:r>
      <w:r w:rsidRPr="00467CCF">
        <w:rPr>
          <w:rFonts w:ascii="Times New Roman" w:eastAsia="Times New Roman" w:hAnsi="Times New Roman" w:cs="Times New Roman"/>
          <w:sz w:val="18"/>
          <w:szCs w:val="18"/>
          <w:lang w:eastAsia="fr-FR"/>
        </w:rPr>
        <w:br/>
        <w:t>Soit que le demandeur ne possède aucun des deux renseignements ci-dessus, les éléments lui permettant de douter de l'existence d'une assurance couvrant les dommages dont il est demandé réparation devant, le cas échéant, être mentionnés.</w:t>
      </w:r>
      <w:r w:rsidRPr="00467CCF">
        <w:rPr>
          <w:rFonts w:ascii="Times New Roman" w:eastAsia="Times New Roman" w:hAnsi="Times New Roman" w:cs="Times New Roman"/>
          <w:sz w:val="18"/>
          <w:szCs w:val="18"/>
          <w:lang w:eastAsia="fr-FR"/>
        </w:rPr>
        <w:br/>
        <w:t>Les dispositions des deux alinéas qui précèdent ne sont pas applicables lorsque la demande d'indemnité est portée devant une juridiction répressive. Dans ce cas, la victime ou ses ayants droit doivent, dix jours au moins avant l'audience retenue pour les débats, aviser le fonds de garantie, par lettre recommandée avec demande d'avis de réception, de leur constitution de partie civile ou dé l'éventualité de cette constitution. Cet avis doit mentionner, outre les diverses indications prévues au troisième alinéa du présent article, les nom, prénoms et adresse de l'auteur des dommages et, le cas échéant, du civilement responsable, ainsi que la juridiction saisie de l'action publique et la date de l'audience.</w:t>
      </w:r>
      <w:r w:rsidRPr="00467CCF">
        <w:rPr>
          <w:rFonts w:ascii="Times New Roman" w:eastAsia="Times New Roman" w:hAnsi="Times New Roman" w:cs="Times New Roman"/>
          <w:sz w:val="18"/>
          <w:szCs w:val="18"/>
          <w:lang w:eastAsia="fr-FR"/>
        </w:rPr>
        <w:br/>
        <w:t>Les notifications effectuées dans les conditions prévues aux alinéas précédents ont pour effet, même si le fonds de garantie n'est pas intervenu à l'instance, de rendre opposable à celui-ci la décision rendue sur la demande d'indemnité. Toute mention inexacte contenue dans les notifications est sanctionnée, en cas de mauvaise foi, par la déchéance du recours éventuel du demandeur contre le fonds de garantie.</w:t>
      </w:r>
    </w:p>
    <w:p w14:paraId="13A8B22B"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420-23</w:t>
      </w:r>
    </w:p>
    <w:p w14:paraId="49C7CFB2"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Sans préjudice de l'exercice de l'action résultant de la subrogation légale du fonds de garantie dans les droits que possède le créancier de l'indemnité contre l'auteur de l'accident ou l'assureur, le fonds de garantie a le droit de réclamer également au débiteur de l’indemnité, d’une part, des intérêts qui sont calculés au taux légal en matière civile et courent depuis la date du paiement des indemnités jusqu'à la date de remboursement de celles-ci, d'autre part, une allocation forfaitaire qui est destinée à couvrir les frais de recouvrement et dont le montant est fixé sur les bases que détermine un décret pris sur la proposition du ministre de l'économie et des finances.</w:t>
      </w:r>
      <w:r w:rsidRPr="00467CCF">
        <w:rPr>
          <w:rFonts w:ascii="Times New Roman" w:eastAsia="Times New Roman" w:hAnsi="Times New Roman" w:cs="Times New Roman"/>
          <w:sz w:val="18"/>
          <w:szCs w:val="18"/>
          <w:lang w:eastAsia="fr-FR"/>
        </w:rPr>
        <w:br/>
        <w:t>Le cas échéant, le fonds de garantie recouvre également sur le débiteur de l'indemnité la contribution mentionnée au 2° de l'article R. 420-27 ou de l'article R. 420-38.</w:t>
      </w:r>
    </w:p>
    <w:p w14:paraId="1177C2B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420-24</w:t>
      </w:r>
    </w:p>
    <w:p w14:paraId="3A75EBA1"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Sont interdites les conventions par lesquelles des intermédiaires se chargeraient, moyennant émoluments convenus au préalable, de faire obtenir aux victimes d'accidents corporels ou à leurs ayants droit une indemnisation du fonds de garantie.</w:t>
      </w:r>
      <w:r w:rsidRPr="00467CCF">
        <w:rPr>
          <w:rFonts w:ascii="Times New Roman" w:eastAsia="Times New Roman" w:hAnsi="Times New Roman" w:cs="Times New Roman"/>
          <w:sz w:val="18"/>
          <w:szCs w:val="18"/>
          <w:lang w:eastAsia="fr-FR"/>
        </w:rPr>
        <w:br/>
        <w:t>Au cas d'inobservation de cette prohibition, il sera fait, s'il y échet, application des dispositions de la loi du 3 avril 1942 proscrivant les pactes sur le règlement des indemnités dues aux victimes d'accidents dans les conditions prévues par la loi.</w:t>
      </w:r>
    </w:p>
    <w:p w14:paraId="58DD50B6"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5 - Régime financier du fonds de garantie</w:t>
      </w:r>
    </w:p>
    <w:p w14:paraId="3D6E2C0F"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 1 - Dispositions spéciales aux accidents d'automobile</w:t>
      </w:r>
    </w:p>
    <w:p w14:paraId="469D2267"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420-27</w:t>
      </w:r>
    </w:p>
    <w:p w14:paraId="153D92ED"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Pour l'application des dispositions de l'article L. 420-4, les contributions prévues pour l'alimentation du fonds de garantie sont assises et recouvrées dans les conditions suivantes :</w:t>
      </w:r>
      <w:r w:rsidRPr="00467CCF">
        <w:rPr>
          <w:rFonts w:ascii="Times New Roman" w:eastAsia="Times New Roman" w:hAnsi="Times New Roman" w:cs="Times New Roman"/>
          <w:sz w:val="18"/>
          <w:szCs w:val="18"/>
          <w:lang w:eastAsia="fr-FR"/>
        </w:rPr>
        <w:br/>
        <w:t>1° La contribution des entreprises d'assurance est proportionnelle aux primes ou cotisations du dernier exercice, accessoires et rappels compris et annulations déduites, relatives à l'assurance des véhicules mentionnés à l'article R. 420-1. Elle est liquidée et recouvrée par le fonds de garantie.</w:t>
      </w:r>
      <w:r w:rsidRPr="00467CCF">
        <w:rPr>
          <w:rFonts w:ascii="Times New Roman" w:eastAsia="Times New Roman" w:hAnsi="Times New Roman" w:cs="Times New Roman"/>
          <w:sz w:val="18"/>
          <w:szCs w:val="18"/>
          <w:lang w:eastAsia="fr-FR"/>
        </w:rPr>
        <w:br/>
        <w:t>2° La contribution des responsables d'accidents mentionnés à l'article R. 420-1 non bénéficiaires d'une assurance, est assise sur le montant total des indemnités mises à leur charge à titre de réparation des dommages résultant de ces accidents. Sont considérées comme bénéficiaires d'une assurance, au sens du présent article, les personnes dont la responsabilité civile est couverte par un contrat d'assurance dans les conditions prévues par l'article L. 211-1. En cas d'instance judiciaire, la décision doit faire apparaître si le responsable est ou non bénéficiaire d'une assurance. La décision de justice ou la transaction doit opérer, le cas échéant, une ventilation entre les indemnités dues à titre de réparation des dommages résultant d'accidents corporels et celles qui sont dues à titre de réparation des dégâts matériels.</w:t>
      </w:r>
      <w:r w:rsidRPr="00467CCF">
        <w:rPr>
          <w:rFonts w:ascii="Times New Roman" w:eastAsia="Times New Roman" w:hAnsi="Times New Roman" w:cs="Times New Roman"/>
          <w:sz w:val="18"/>
          <w:szCs w:val="18"/>
          <w:lang w:eastAsia="fr-FR"/>
        </w:rPr>
        <w:br/>
        <w:t>La contribution est liquidée et recouvrée par les services de la direction générale des impôts selon les mêmes règles, sous les mêmes garanties et sous les mêmes sanctions qu'en matière de droits d'enregistrement. Elle est perçue sur la notification faite à la direction générale des impôts par le fonds de garantie.</w:t>
      </w:r>
      <w:r w:rsidRPr="00467CCF">
        <w:rPr>
          <w:rFonts w:ascii="Times New Roman" w:eastAsia="Times New Roman" w:hAnsi="Times New Roman" w:cs="Times New Roman"/>
          <w:sz w:val="18"/>
          <w:szCs w:val="18"/>
          <w:lang w:eastAsia="fr-FR"/>
        </w:rPr>
        <w:br/>
        <w:t>La contribution doit être acquittée dans le délai d'un mois à compter de la réclamation adressée par la direction générale des impôts.</w:t>
      </w:r>
      <w:r w:rsidRPr="00467CCF">
        <w:rPr>
          <w:rFonts w:ascii="Times New Roman" w:eastAsia="Times New Roman" w:hAnsi="Times New Roman" w:cs="Times New Roman"/>
          <w:sz w:val="18"/>
          <w:szCs w:val="18"/>
          <w:lang w:eastAsia="fr-FR"/>
        </w:rPr>
        <w:br/>
        <w:t xml:space="preserve">3° La contribution des assurés est assise sur toutes les primes ou cotisations qu'ils versent aux entreprises d'assurance mentionnées à l'article L. 420-2 pour l'assurance des risques de responsabilité civile résultant d'accidents causés par les </w:t>
      </w:r>
      <w:r w:rsidRPr="00467CCF">
        <w:rPr>
          <w:rFonts w:ascii="Times New Roman" w:eastAsia="Times New Roman" w:hAnsi="Times New Roman" w:cs="Times New Roman"/>
          <w:sz w:val="18"/>
          <w:szCs w:val="18"/>
          <w:lang w:eastAsia="fr-FR"/>
        </w:rPr>
        <w:lastRenderedPageBreak/>
        <w:t>véhicules définis à l’article L. 420-1. Elle est perçue par les entreprises d’assurance et recouvrée selon les modalités fixées par arrêté du ministre de l’économie et des finances.</w:t>
      </w:r>
      <w:r w:rsidRPr="00467CCF">
        <w:rPr>
          <w:rFonts w:ascii="Times New Roman" w:eastAsia="Times New Roman" w:hAnsi="Times New Roman" w:cs="Times New Roman"/>
          <w:sz w:val="18"/>
          <w:szCs w:val="18"/>
          <w:lang w:eastAsia="fr-FR"/>
        </w:rPr>
        <w:br/>
        <w:t>Un règlement d’administration publique détermine les modalités d’assiette de la contribution exigée pour les véhicules étrangers.</w:t>
      </w:r>
    </w:p>
    <w:p w14:paraId="763A48D7"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420-28</w:t>
      </w:r>
    </w:p>
    <w:p w14:paraId="35094988"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taux des contributions mentionnées à l'article R. 420-27 sont fixés par décret rendu sur la proposition du ministre de l’économie et des finances dans la limite des montants maximaux ci-après :</w:t>
      </w:r>
      <w:r w:rsidRPr="00467CCF">
        <w:rPr>
          <w:rFonts w:ascii="Times New Roman" w:eastAsia="Times New Roman" w:hAnsi="Times New Roman" w:cs="Times New Roman"/>
          <w:sz w:val="18"/>
          <w:szCs w:val="18"/>
          <w:lang w:eastAsia="fr-FR"/>
        </w:rPr>
        <w:br/>
        <w:t>Contribution des entreprises d'assurance : 12 p. 100 de la totalité des charges du fonds de garantie ;</w:t>
      </w:r>
      <w:r w:rsidRPr="00467CCF">
        <w:rPr>
          <w:rFonts w:ascii="Times New Roman" w:eastAsia="Times New Roman" w:hAnsi="Times New Roman" w:cs="Times New Roman"/>
          <w:sz w:val="18"/>
          <w:szCs w:val="18"/>
          <w:lang w:eastAsia="fr-FR"/>
        </w:rPr>
        <w:br/>
        <w:t>Contribution des responsables d’accidents non assurés : 10 p. 100 des indemnités restant à leur charge. Toutefois, ce taux est ramené à 5 p. 100 lorsque l’accident a été provoqué par un véhicule utilisé par l’Etat, une collectivité publique ou une entreprise bénéficiant de l'autorisation prévue à l'article 47, alinéa 4, du décret du 14 novembre 1949 relatif à la coordination et à l'harmonisation des transports ferroviaires et routiers ou d'une autorisation équivalente ;</w:t>
      </w:r>
      <w:r w:rsidRPr="00467CCF">
        <w:rPr>
          <w:rFonts w:ascii="Times New Roman" w:eastAsia="Times New Roman" w:hAnsi="Times New Roman" w:cs="Times New Roman"/>
          <w:sz w:val="18"/>
          <w:szCs w:val="18"/>
          <w:lang w:eastAsia="fr-FR"/>
        </w:rPr>
        <w:br/>
        <w:t>Contribution des assurés : 2 p. 100 des primes mentionnées au 3° de l’article R. 420-27.</w:t>
      </w:r>
    </w:p>
    <w:p w14:paraId="4056AFC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420-29</w:t>
      </w:r>
    </w:p>
    <w:p w14:paraId="58A19F02"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Sur le montant des encaissements effectués par les services de la direction générale des impôts au titre des contributions mentionnées aux articles R. 420-27 et R. 420-28, il est opéré un prélèvement de 3 p. 100. Le produit de ce prélèvement est rattaché au budget du ministère de l'économie et des finances. Il sert à couvrir dans les limites et conditions déterminées par arrêté du ministre de l'économie et des finances les dépenses de matériel et de personnel résultant de l'application de la section 1 du présent chapitre.</w:t>
      </w:r>
    </w:p>
    <w:p w14:paraId="4B5E016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420-30</w:t>
      </w:r>
    </w:p>
    <w:p w14:paraId="70684838"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taux des contributions prévues pour l'alimentation du fonds de garantie en application de l'article L. 420-4 sont fixés comme suit :</w:t>
      </w:r>
      <w:r w:rsidRPr="00467CCF">
        <w:rPr>
          <w:rFonts w:ascii="Times New Roman" w:eastAsia="Times New Roman" w:hAnsi="Times New Roman" w:cs="Times New Roman"/>
          <w:sz w:val="18"/>
          <w:szCs w:val="18"/>
          <w:lang w:eastAsia="fr-FR"/>
        </w:rPr>
        <w:br/>
        <w:t>Contribution des entreprises d'assurance : 10 p. 100 de la totalité des charges du fonds de garantie.</w:t>
      </w:r>
      <w:r w:rsidRPr="00467CCF">
        <w:rPr>
          <w:rFonts w:ascii="Times New Roman" w:eastAsia="Times New Roman" w:hAnsi="Times New Roman" w:cs="Times New Roman"/>
          <w:sz w:val="18"/>
          <w:szCs w:val="18"/>
          <w:lang w:eastAsia="fr-FR"/>
        </w:rPr>
        <w:br/>
        <w:t>Contribution des responsables d'accidents corporels non assurés :</w:t>
      </w:r>
      <w:r w:rsidRPr="00467CCF">
        <w:rPr>
          <w:rFonts w:ascii="Times New Roman" w:eastAsia="Times New Roman" w:hAnsi="Times New Roman" w:cs="Times New Roman"/>
          <w:sz w:val="18"/>
          <w:szCs w:val="18"/>
          <w:lang w:eastAsia="fr-FR"/>
        </w:rPr>
        <w:br/>
        <w:t>- taux normal : 10 p. 100 des indemnités restant à leur charge ;</w:t>
      </w:r>
      <w:r w:rsidRPr="00467CCF">
        <w:rPr>
          <w:rFonts w:ascii="Times New Roman" w:eastAsia="Times New Roman" w:hAnsi="Times New Roman" w:cs="Times New Roman"/>
          <w:sz w:val="18"/>
          <w:szCs w:val="18"/>
          <w:lang w:eastAsia="fr-FR"/>
        </w:rPr>
        <w:br/>
        <w:t>- taux réduit : 5 p. 100 ;</w:t>
      </w:r>
      <w:r w:rsidRPr="00467CCF">
        <w:rPr>
          <w:rFonts w:ascii="Times New Roman" w:eastAsia="Times New Roman" w:hAnsi="Times New Roman" w:cs="Times New Roman"/>
          <w:sz w:val="18"/>
          <w:szCs w:val="18"/>
          <w:lang w:eastAsia="fr-FR"/>
        </w:rPr>
        <w:br/>
        <w:t>Contribution des assurés : 1 p. 100 des primes.</w:t>
      </w:r>
    </w:p>
    <w:p w14:paraId="6BA785F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420-31</w:t>
      </w:r>
    </w:p>
    <w:p w14:paraId="14CAB3FD"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Pour l'application de l'article R. 420-30, le versement d'acomptes sur leur contribution peut être demandé aux entreprises d'assurance par le fonds de garantie.</w:t>
      </w:r>
      <w:r w:rsidRPr="00467CCF">
        <w:rPr>
          <w:rFonts w:ascii="Times New Roman" w:eastAsia="Times New Roman" w:hAnsi="Times New Roman" w:cs="Times New Roman"/>
          <w:sz w:val="18"/>
          <w:szCs w:val="18"/>
          <w:lang w:eastAsia="fr-FR"/>
        </w:rPr>
        <w:br/>
        <w:t>La contribution des assurés est perçue sur les primes émises nettes d'annulations.</w:t>
      </w:r>
      <w:r w:rsidRPr="00467CCF">
        <w:rPr>
          <w:rFonts w:ascii="Times New Roman" w:eastAsia="Times New Roman" w:hAnsi="Times New Roman" w:cs="Times New Roman"/>
          <w:sz w:val="18"/>
          <w:szCs w:val="18"/>
          <w:lang w:eastAsia="fr-FR"/>
        </w:rPr>
        <w:br/>
        <w:t>Le recouvrement en est effectué pour le compte du fonds de garantie par les entreprises d'assurance et sous leur responsabilité.</w:t>
      </w:r>
    </w:p>
    <w:p w14:paraId="3F67BC5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420-32</w:t>
      </w:r>
    </w:p>
    <w:p w14:paraId="09B21242"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Sont considérés comme véhicules étrangers, pour l'application du dernier alinéa de l'article R. 420-27 :</w:t>
      </w:r>
      <w:r w:rsidRPr="00467CCF">
        <w:rPr>
          <w:rFonts w:ascii="Times New Roman" w:eastAsia="Times New Roman" w:hAnsi="Times New Roman" w:cs="Times New Roman"/>
          <w:sz w:val="18"/>
          <w:szCs w:val="18"/>
          <w:lang w:eastAsia="fr-FR"/>
        </w:rPr>
        <w:br/>
        <w:t>1° Lorsqu'ils sont soumis à immatriculation, les véhicules immatriculés autrement que dans l'une quelconque des séries prévues par la réglementation en vigueur sur le territoire de la République française ;</w:t>
      </w:r>
      <w:r w:rsidRPr="00467CCF">
        <w:rPr>
          <w:rFonts w:ascii="Times New Roman" w:eastAsia="Times New Roman" w:hAnsi="Times New Roman" w:cs="Times New Roman"/>
          <w:sz w:val="18"/>
          <w:szCs w:val="18"/>
          <w:lang w:eastAsia="fr-FR"/>
        </w:rPr>
        <w:br/>
        <w:t>2° Lorsqu'ils ne sont pas soumis à immatriculation, les véhicules que font circuler, sur le territoire de la République française, des personnes dont la résidence habituelle est située hors de ce territoire.</w:t>
      </w:r>
    </w:p>
    <w:p w14:paraId="0F73129F"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420-33</w:t>
      </w:r>
    </w:p>
    <w:p w14:paraId="4C9E0A6B"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Toute personne responsable d'un accident causé par un véhicule étranger sur le territoire de la République française, et dont la responsabilité n'est pas garantie par une assurance dans les conditions définies aux articles R. 211-22, R. 211-23 et R. 211-25 à R. 211-27 est tenue au paiement de la contribution prévue au 2° de l'article R. 420-27.</w:t>
      </w:r>
      <w:r w:rsidRPr="00467CCF">
        <w:rPr>
          <w:rFonts w:ascii="Times New Roman" w:eastAsia="Times New Roman" w:hAnsi="Times New Roman" w:cs="Times New Roman"/>
          <w:sz w:val="18"/>
          <w:szCs w:val="18"/>
          <w:lang w:eastAsia="fr-FR"/>
        </w:rPr>
        <w:br/>
        <w:t>Lorsque l'accident a été causé par un véhicule appartenant à un Etat étranger pour lequel a été fournie l'attestation prévue à l'article R. 211-25, la contribution est fixée dans les mêmes conditions que pour les véhicules appartenant à l'Etat français.</w:t>
      </w:r>
    </w:p>
    <w:p w14:paraId="66028E9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420-34</w:t>
      </w:r>
    </w:p>
    <w:p w14:paraId="0B257AB9"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lastRenderedPageBreak/>
        <w:t>Les contrats souscrits auprès des entreprises d'assurance mentionnées à l'article L. 420-2 pour l'assurance des risques de responsabilité civile résultant d'accidents causés par des véhicules étrangers donnent lieu au versement de la contribution prévue au 3° de l'article R. 420-27.</w:t>
      </w:r>
    </w:p>
    <w:p w14:paraId="37E1B757"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420-35</w:t>
      </w:r>
    </w:p>
    <w:p w14:paraId="69435DEB"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dispositions des articles R. 420-27 et R. 420-28 ne sont pas applicables aux véhicules couverts par l'assurance frontière mentionnée à l'article R. 211-23.</w:t>
      </w:r>
      <w:r w:rsidRPr="00467CCF">
        <w:rPr>
          <w:rFonts w:ascii="Times New Roman" w:eastAsia="Times New Roman" w:hAnsi="Times New Roman" w:cs="Times New Roman"/>
          <w:sz w:val="18"/>
          <w:szCs w:val="18"/>
          <w:lang w:eastAsia="fr-FR"/>
        </w:rPr>
        <w:br/>
        <w:t>L'adhésion à l'assurance frontière donne lieu au paiement d'une contribution au profit du fonds de garantie, qui est perçue en même temps et dans les mêmes conditions que la prime afférente à cette assurance.</w:t>
      </w:r>
      <w:r w:rsidRPr="00467CCF">
        <w:rPr>
          <w:rFonts w:ascii="Times New Roman" w:eastAsia="Times New Roman" w:hAnsi="Times New Roman" w:cs="Times New Roman"/>
          <w:sz w:val="18"/>
          <w:szCs w:val="18"/>
          <w:lang w:eastAsia="fr-FR"/>
        </w:rPr>
        <w:br/>
        <w:t>Cette contribution peut varier suivant le genre du véhicule utilisé et ne doit pas excéder 15 p. 100 de la prime susmentionnée. Son montant et les modalités de son recouvrement sont fixés par arrêté du ministre de l'économie et des finances.</w:t>
      </w:r>
    </w:p>
    <w:p w14:paraId="5876EDF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420-36</w:t>
      </w:r>
    </w:p>
    <w:p w14:paraId="6594F925"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Sont dispensés des contributions prévues aux articles R. 420-27 à R. 420-35 les véhicules étrangers pour lesquels il a été produit une carte internationale d'assurance, en état de validité, délivrée par un bureau constitué pour l'émission de certificats d'assurance suivant la formule adoptée par le sous-comité des transports routiers du comité des transports intérieurs de la commission économique pour l'Europe.</w:t>
      </w:r>
    </w:p>
    <w:p w14:paraId="1F26F26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420-37</w:t>
      </w:r>
    </w:p>
    <w:p w14:paraId="342E6430"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comptables publics, consignataires des extraits de jugements et d'arrêts, recouvrent, dans les mêmes conditions que les amendes, la majoration de 50 p. 100 instituée au profit du fonds de garantie par le deuxième alinéa de l'article L. 211-8.</w:t>
      </w:r>
      <w:r w:rsidRPr="00467CCF">
        <w:rPr>
          <w:rFonts w:ascii="Times New Roman" w:eastAsia="Times New Roman" w:hAnsi="Times New Roman" w:cs="Times New Roman"/>
          <w:sz w:val="18"/>
          <w:szCs w:val="18"/>
          <w:lang w:eastAsia="fr-FR"/>
        </w:rPr>
        <w:br/>
        <w:t>Les encaissements effectués au titre de cette majoration sont versés trimestriellement au fonds de garantie sous déduction d'un prélèvement de 3 p. 100. Le produit de ce prélèvement est rattaché au budget du ministère de l'économie et des finances et sert à couvrir, dans les limites et conditions déterminées par arrêté du ministre de l'économie et des finances, les dépenses de matériel et de personnel résultant des recouvrements effectués pour le compte du fonds de garantie.</w:t>
      </w:r>
    </w:p>
    <w:p w14:paraId="72C64832" w14:textId="77777777" w:rsidR="00467CCF" w:rsidRPr="00467CCF" w:rsidRDefault="00467CCF" w:rsidP="00467CCF">
      <w:pPr>
        <w:spacing w:after="0" w:line="240" w:lineRule="auto"/>
        <w:jc w:val="center"/>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 2 - Dispositions spéciales aux accidents de chasse</w:t>
      </w:r>
    </w:p>
    <w:p w14:paraId="3BCCA04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420-38</w:t>
      </w:r>
    </w:p>
    <w:p w14:paraId="342E6072"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Pour l'application des dispositions de l'article 366 ter du code rural, les contributions prévues pour l'alimentation du fonds de garantie sont assises dans les conditions suivantes :</w:t>
      </w:r>
      <w:r w:rsidRPr="00467CCF">
        <w:rPr>
          <w:rFonts w:ascii="Times New Roman" w:eastAsia="Times New Roman" w:hAnsi="Times New Roman" w:cs="Times New Roman"/>
          <w:sz w:val="18"/>
          <w:szCs w:val="18"/>
          <w:lang w:eastAsia="fr-FR"/>
        </w:rPr>
        <w:br/>
        <w:t>1° La contribution des entreprises d'assurance est proportionnelle aux sommes recouvrées par elles au titre de la contribution des assurés mentionnée au 3° ci-dessous.</w:t>
      </w:r>
      <w:r w:rsidRPr="00467CCF">
        <w:rPr>
          <w:rFonts w:ascii="Times New Roman" w:eastAsia="Times New Roman" w:hAnsi="Times New Roman" w:cs="Times New Roman"/>
          <w:sz w:val="18"/>
          <w:szCs w:val="18"/>
          <w:lang w:eastAsia="fr-FR"/>
        </w:rPr>
        <w:br/>
        <w:t>2° La contribution des responsables d'accidents corporels, non bénéficiaires d'une assurance, est assise sur le montant total des indemnités mises à leur charge à titre de réparation des dommages résultant de ces accidents. Sont considérés comme bénéficiaires d'une assurance au sens du présent article les personnes dont la responsabilité civile résultant d'accidents de chasse ou de destruction des animaux nuisibles est couverte par un contrat d'assurance. En cas d'instance judiciaire, la décision doit faire apparaître si le responsable est ou non bénéficiaire d'une assurance. La décision de justice ou la transaction doit opérer le cas échéant une ventilation entre les indemnités dues à titre de réparation des dommages résultant d'accidents corporels et celles qui sont dues à titre de réparation des dégâts matériels.</w:t>
      </w:r>
      <w:r w:rsidRPr="00467CCF">
        <w:rPr>
          <w:rFonts w:ascii="Times New Roman" w:eastAsia="Times New Roman" w:hAnsi="Times New Roman" w:cs="Times New Roman"/>
          <w:sz w:val="18"/>
          <w:szCs w:val="18"/>
          <w:lang w:eastAsia="fr-FR"/>
        </w:rPr>
        <w:br/>
        <w:t>3° La contribution des assurés est fixée à une somme forfaitaire par personne garantie pour sa responsabilité civile résultant d'accidents de chasse ou de destruction des animaux nuisibles.</w:t>
      </w:r>
      <w:r w:rsidRPr="00467CCF">
        <w:rPr>
          <w:rFonts w:ascii="Times New Roman" w:eastAsia="Times New Roman" w:hAnsi="Times New Roman" w:cs="Times New Roman"/>
          <w:sz w:val="18"/>
          <w:szCs w:val="18"/>
          <w:lang w:eastAsia="fr-FR"/>
        </w:rPr>
        <w:br/>
        <w:t>Ces contributions sont liquidées et recouvrées selon les modalités prévues en matière automobile en application des dispositions de l'article R. 420-27.</w:t>
      </w:r>
    </w:p>
    <w:p w14:paraId="7236D146"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420-39</w:t>
      </w:r>
    </w:p>
    <w:p w14:paraId="3C075ECB"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taux et quotité des contributions mentionnées à l'article R. 420-38 sont fixés par décret rendu sur le rapport du ministre de l'économie et des finances, dans la limite des montants maximaux ci-après :</w:t>
      </w:r>
      <w:r w:rsidRPr="00467CCF">
        <w:rPr>
          <w:rFonts w:ascii="Times New Roman" w:eastAsia="Times New Roman" w:hAnsi="Times New Roman" w:cs="Times New Roman"/>
          <w:sz w:val="18"/>
          <w:szCs w:val="18"/>
          <w:lang w:eastAsia="fr-FR"/>
        </w:rPr>
        <w:br/>
        <w:t>Contribution des entreprises d'assurance : 12 p. 100 de la totalité des charges des opérations du fonds de garantie afférentes à la chasse et à la destruction des animaux nuisibles ;</w:t>
      </w:r>
      <w:r w:rsidRPr="00467CCF">
        <w:rPr>
          <w:rFonts w:ascii="Times New Roman" w:eastAsia="Times New Roman" w:hAnsi="Times New Roman" w:cs="Times New Roman"/>
          <w:sz w:val="18"/>
          <w:szCs w:val="18"/>
          <w:lang w:eastAsia="fr-FR"/>
        </w:rPr>
        <w:br/>
        <w:t>Contribution des responsables d'accidents corporels non assurés : 10 p. 100 des indemnités restant à leur charge. Toutefois ce taux est ramené à 5 p. 100 lorsque l'accident résulte d'une opération de destruction des animaux nuisibles effectuée en vertu des articles 393 à 395 du code rural ;</w:t>
      </w:r>
      <w:r w:rsidRPr="00467CCF">
        <w:rPr>
          <w:rFonts w:ascii="Times New Roman" w:eastAsia="Times New Roman" w:hAnsi="Times New Roman" w:cs="Times New Roman"/>
          <w:sz w:val="18"/>
          <w:szCs w:val="18"/>
          <w:lang w:eastAsia="fr-FR"/>
        </w:rPr>
        <w:br/>
        <w:t>Contribution des assurés : somme forfaitaire maximale de 1 F par personne garantie.</w:t>
      </w:r>
    </w:p>
    <w:p w14:paraId="01CC6F09"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lastRenderedPageBreak/>
        <w:t>Art. R. 420-40</w:t>
      </w:r>
    </w:p>
    <w:p w14:paraId="1ACC6538"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taux des contributions destinées à l'alimentation du fonds de garantie pour l'indemnisation des victimes d'accidents corporels de chasse sont les suivants :</w:t>
      </w:r>
      <w:r w:rsidRPr="00467CCF">
        <w:rPr>
          <w:rFonts w:ascii="Times New Roman" w:eastAsia="Times New Roman" w:hAnsi="Times New Roman" w:cs="Times New Roman"/>
          <w:sz w:val="18"/>
          <w:szCs w:val="18"/>
          <w:lang w:eastAsia="fr-FR"/>
        </w:rPr>
        <w:br/>
        <w:t>Contribution des entreprises d'assurance : 11 p. 100 de la totalité des charges du fonds de garantie.</w:t>
      </w:r>
      <w:r w:rsidRPr="00467CCF">
        <w:rPr>
          <w:rFonts w:ascii="Times New Roman" w:eastAsia="Times New Roman" w:hAnsi="Times New Roman" w:cs="Times New Roman"/>
          <w:sz w:val="18"/>
          <w:szCs w:val="18"/>
          <w:lang w:eastAsia="fr-FR"/>
        </w:rPr>
        <w:br/>
        <w:t>Contribution des responsables d'accidents corporels non assurés :</w:t>
      </w:r>
      <w:r w:rsidRPr="00467CCF">
        <w:rPr>
          <w:rFonts w:ascii="Times New Roman" w:eastAsia="Times New Roman" w:hAnsi="Times New Roman" w:cs="Times New Roman"/>
          <w:sz w:val="18"/>
          <w:szCs w:val="18"/>
          <w:lang w:eastAsia="fr-FR"/>
        </w:rPr>
        <w:br/>
        <w:t>- taux normal : 10 p. 100 des indemnités restant à leur charge ;</w:t>
      </w:r>
      <w:r w:rsidRPr="00467CCF">
        <w:rPr>
          <w:rFonts w:ascii="Times New Roman" w:eastAsia="Times New Roman" w:hAnsi="Times New Roman" w:cs="Times New Roman"/>
          <w:sz w:val="18"/>
          <w:szCs w:val="18"/>
          <w:lang w:eastAsia="fr-FR"/>
        </w:rPr>
        <w:br/>
        <w:t>- taux réduit lorsque l'accident résulte d'une opération de destruction des animaux nuisibles effectuée en vertu des articles 393 à 395 du code rural : 5 p. 100.</w:t>
      </w:r>
      <w:r w:rsidRPr="00467CCF">
        <w:rPr>
          <w:rFonts w:ascii="Times New Roman" w:eastAsia="Times New Roman" w:hAnsi="Times New Roman" w:cs="Times New Roman"/>
          <w:sz w:val="18"/>
          <w:szCs w:val="18"/>
          <w:lang w:eastAsia="fr-FR"/>
        </w:rPr>
        <w:br/>
        <w:t>Contribution forfaitaire des assurés : 0,90 F par personne garantie.</w:t>
      </w:r>
    </w:p>
    <w:p w14:paraId="2E53CA9F"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420-41</w:t>
      </w:r>
    </w:p>
    <w:p w14:paraId="5F9105DC"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Pour l'application des dispositions de l'article R. 420-40, le versement d'acomptes sur leur contribution peut être demandé aux entreprises d'assurance par le fonds de garantie.</w:t>
      </w:r>
      <w:r w:rsidRPr="00467CCF">
        <w:rPr>
          <w:rFonts w:ascii="Times New Roman" w:eastAsia="Times New Roman" w:hAnsi="Times New Roman" w:cs="Times New Roman"/>
          <w:sz w:val="18"/>
          <w:szCs w:val="18"/>
          <w:lang w:eastAsia="fr-FR"/>
        </w:rPr>
        <w:br/>
        <w:t>La contribution des assurés est perçue sur les primes émises nettes d'annulations.</w:t>
      </w:r>
      <w:r w:rsidRPr="00467CCF">
        <w:rPr>
          <w:rFonts w:ascii="Times New Roman" w:eastAsia="Times New Roman" w:hAnsi="Times New Roman" w:cs="Times New Roman"/>
          <w:sz w:val="18"/>
          <w:szCs w:val="18"/>
          <w:lang w:eastAsia="fr-FR"/>
        </w:rPr>
        <w:br/>
        <w:t>Le recouvrement en est effectué pour le compte du fonds de garantie par les entreprises d'assurance et sous leur responsabilité.</w:t>
      </w:r>
    </w:p>
    <w:p w14:paraId="599AA96E"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420-42</w:t>
      </w:r>
    </w:p>
    <w:p w14:paraId="1D62B901"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comptables publics, consignataires des extraits de jugements et d'arrêts ainsi que des décisions de transaction intervenues conformément aux dispositions du décret n° 66-136 du 4 mars 1966 recouvrent, dans les mêmes conditions que les amendes, la majoration de 50 p. 100 instituée au profit du fonds de garantie par le deuxième alinéa de l'article 366 ter du code rural.</w:t>
      </w:r>
      <w:r w:rsidRPr="00467CCF">
        <w:rPr>
          <w:rFonts w:ascii="Times New Roman" w:eastAsia="Times New Roman" w:hAnsi="Times New Roman" w:cs="Times New Roman"/>
          <w:sz w:val="18"/>
          <w:szCs w:val="18"/>
          <w:lang w:eastAsia="fr-FR"/>
        </w:rPr>
        <w:br/>
        <w:t>Les encaissements effectués au titre de cette majoration sont versés trimestriellement au fonds de garantie sous déduction d'un prélèvement de 3 p. 100.</w:t>
      </w:r>
      <w:r w:rsidRPr="00467CCF">
        <w:rPr>
          <w:rFonts w:ascii="Times New Roman" w:eastAsia="Times New Roman" w:hAnsi="Times New Roman" w:cs="Times New Roman"/>
          <w:sz w:val="18"/>
          <w:szCs w:val="18"/>
          <w:lang w:eastAsia="fr-FR"/>
        </w:rPr>
        <w:br/>
        <w:t>Par ailleurs, sur le montant des encaissements effectués par les services de la direction générale des impôts au titre des contributions mentionnées à l'article R. 420-38, il est opéré un prélèvement analogue de 3 p. 100.</w:t>
      </w:r>
      <w:r w:rsidRPr="00467CCF">
        <w:rPr>
          <w:rFonts w:ascii="Times New Roman" w:eastAsia="Times New Roman" w:hAnsi="Times New Roman" w:cs="Times New Roman"/>
          <w:sz w:val="18"/>
          <w:szCs w:val="18"/>
          <w:lang w:eastAsia="fr-FR"/>
        </w:rPr>
        <w:br/>
        <w:t>Le produit des prélèvements mentionnés aux alinéas 2 et 3 ci-dessus du présent article est rattaché au budget du ministère de l'économie et des finances. Il sert à couvrir, dans les limites et conditions déterminées par arrêté du ministre de l'économie et des finances, les dépenses de matériel et de personnel résultant des recouvrements effectués pour le compte du fonds de garantie.</w:t>
      </w:r>
    </w:p>
    <w:p w14:paraId="6F601F3F"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420-43</w:t>
      </w:r>
    </w:p>
    <w:p w14:paraId="559BA374" w14:textId="77777777" w:rsidR="00467CCF" w:rsidRPr="00467CCF" w:rsidRDefault="00467CCF" w:rsidP="00467CCF">
      <w:pPr>
        <w:spacing w:before="100" w:beforeAutospacing="1" w:after="100" w:afterAutospacing="1" w:line="225" w:lineRule="atLeast"/>
        <w:jc w:val="both"/>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comptabilité du fonds de garantie doit permettre de faire apparaître pour chaque exercice la totalité des recettes et des charges afférentes aux opérations effectuées en application de l'article 366 ter du code rural, afin que le résultat effectif de ces opérations puisse être dégagé et leur équilibre assuré.</w:t>
      </w:r>
    </w:p>
    <w:p w14:paraId="74EC7C2C"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 3 - Dispositions communes aux accidents d'automobile et de chasse</w:t>
      </w:r>
    </w:p>
    <w:p w14:paraId="2F649FFE"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420-44</w:t>
      </w:r>
    </w:p>
    <w:p w14:paraId="425A9E6D"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opérations effectuées par le fonds de garantie comprennent :</w:t>
      </w:r>
      <w:r w:rsidRPr="00467CCF">
        <w:rPr>
          <w:rFonts w:ascii="Times New Roman" w:eastAsia="Times New Roman" w:hAnsi="Times New Roman" w:cs="Times New Roman"/>
          <w:sz w:val="18"/>
          <w:szCs w:val="18"/>
          <w:lang w:eastAsia="fr-FR"/>
        </w:rPr>
        <w:br/>
        <w:t>En recettes :</w:t>
      </w:r>
      <w:r w:rsidRPr="00467CCF">
        <w:rPr>
          <w:rFonts w:ascii="Times New Roman" w:eastAsia="Times New Roman" w:hAnsi="Times New Roman" w:cs="Times New Roman"/>
          <w:sz w:val="18"/>
          <w:szCs w:val="18"/>
          <w:lang w:eastAsia="fr-FR"/>
        </w:rPr>
        <w:br/>
        <w:t>a) Le produit des contributions prévues par les articles R. 420-27 et R. 420.38 ;</w:t>
      </w:r>
      <w:r w:rsidRPr="00467CCF">
        <w:rPr>
          <w:rFonts w:ascii="Times New Roman" w:eastAsia="Times New Roman" w:hAnsi="Times New Roman" w:cs="Times New Roman"/>
          <w:sz w:val="18"/>
          <w:szCs w:val="18"/>
          <w:lang w:eastAsia="fr-FR"/>
        </w:rPr>
        <w:br/>
        <w:t>b) Les recouvrements effectués sur les débiteurs d'indemnités ;</w:t>
      </w:r>
      <w:r w:rsidRPr="00467CCF">
        <w:rPr>
          <w:rFonts w:ascii="Times New Roman" w:eastAsia="Times New Roman" w:hAnsi="Times New Roman" w:cs="Times New Roman"/>
          <w:sz w:val="18"/>
          <w:szCs w:val="18"/>
          <w:lang w:eastAsia="fr-FR"/>
        </w:rPr>
        <w:br/>
        <w:t>c) Le produit des placements de fonds et les intérêts servis sur les fonds en compte courant ;</w:t>
      </w:r>
      <w:r w:rsidRPr="00467CCF">
        <w:rPr>
          <w:rFonts w:ascii="Times New Roman" w:eastAsia="Times New Roman" w:hAnsi="Times New Roman" w:cs="Times New Roman"/>
          <w:sz w:val="18"/>
          <w:szCs w:val="18"/>
          <w:lang w:eastAsia="fr-FR"/>
        </w:rPr>
        <w:br/>
        <w:t>d) Les remboursements et réalisations de valeurs mobilières et immobilières ;</w:t>
      </w:r>
      <w:r w:rsidRPr="00467CCF">
        <w:rPr>
          <w:rFonts w:ascii="Times New Roman" w:eastAsia="Times New Roman" w:hAnsi="Times New Roman" w:cs="Times New Roman"/>
          <w:sz w:val="18"/>
          <w:szCs w:val="18"/>
          <w:lang w:eastAsia="fr-FR"/>
        </w:rPr>
        <w:br/>
        <w:t>e) Toute autre ressource qui pourrait être attribuée au fonds de garantie.</w:t>
      </w:r>
      <w:r w:rsidRPr="00467CCF">
        <w:rPr>
          <w:rFonts w:ascii="Times New Roman" w:eastAsia="Times New Roman" w:hAnsi="Times New Roman" w:cs="Times New Roman"/>
          <w:sz w:val="18"/>
          <w:szCs w:val="18"/>
          <w:lang w:eastAsia="fr-FR"/>
        </w:rPr>
        <w:br/>
        <w:t>En dépenses :</w:t>
      </w:r>
      <w:r w:rsidRPr="00467CCF">
        <w:rPr>
          <w:rFonts w:ascii="Times New Roman" w:eastAsia="Times New Roman" w:hAnsi="Times New Roman" w:cs="Times New Roman"/>
          <w:sz w:val="18"/>
          <w:szCs w:val="18"/>
          <w:lang w:eastAsia="fr-FR"/>
        </w:rPr>
        <w:br/>
        <w:t>a) Les indemnités et frais versés au titre des sinistres à la charge du fonds ;</w:t>
      </w:r>
      <w:r w:rsidRPr="00467CCF">
        <w:rPr>
          <w:rFonts w:ascii="Times New Roman" w:eastAsia="Times New Roman" w:hAnsi="Times New Roman" w:cs="Times New Roman"/>
          <w:sz w:val="18"/>
          <w:szCs w:val="18"/>
          <w:lang w:eastAsia="fr-FR"/>
        </w:rPr>
        <w:br/>
        <w:t>b) Les frais de fonctionnement et d'administration de toute nature du fonds ;</w:t>
      </w:r>
      <w:r w:rsidRPr="00467CCF">
        <w:rPr>
          <w:rFonts w:ascii="Times New Roman" w:eastAsia="Times New Roman" w:hAnsi="Times New Roman" w:cs="Times New Roman"/>
          <w:sz w:val="18"/>
          <w:szCs w:val="18"/>
          <w:lang w:eastAsia="fr-FR"/>
        </w:rPr>
        <w:br/>
        <w:t>c) Les frais engagés au titre des recours ;</w:t>
      </w:r>
      <w:r w:rsidRPr="00467CCF">
        <w:rPr>
          <w:rFonts w:ascii="Times New Roman" w:eastAsia="Times New Roman" w:hAnsi="Times New Roman" w:cs="Times New Roman"/>
          <w:sz w:val="18"/>
          <w:szCs w:val="18"/>
          <w:lang w:eastAsia="fr-FR"/>
        </w:rPr>
        <w:br/>
        <w:t>d) Le coût des placements de fonds.</w:t>
      </w:r>
    </w:p>
    <w:p w14:paraId="297C9C8E"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420-45</w:t>
      </w:r>
    </w:p>
    <w:p w14:paraId="2C8ECF13"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Il est ouvert dans les écritures de la Caisse des dépôts et consignations un compte de dépôt intitulé : fonds de garantie (art. L. 420-1 du code des assurances et art. 366 ter du code rural).</w:t>
      </w:r>
      <w:r w:rsidRPr="00467CCF">
        <w:rPr>
          <w:rFonts w:ascii="Times New Roman" w:eastAsia="Times New Roman" w:hAnsi="Times New Roman" w:cs="Times New Roman"/>
          <w:sz w:val="18"/>
          <w:szCs w:val="18"/>
          <w:lang w:eastAsia="fr-FR"/>
        </w:rPr>
        <w:br/>
        <w:t>Toutes les opérations concernant ce compte sont ordonnées par le représentant qualifié du fonds.</w:t>
      </w:r>
      <w:r w:rsidRPr="00467CCF">
        <w:rPr>
          <w:rFonts w:ascii="Times New Roman" w:eastAsia="Times New Roman" w:hAnsi="Times New Roman" w:cs="Times New Roman"/>
          <w:sz w:val="18"/>
          <w:szCs w:val="18"/>
          <w:lang w:eastAsia="fr-FR"/>
        </w:rPr>
        <w:br/>
        <w:t xml:space="preserve">Le compte porte intérêt au taux servi pour la rémunération des fonds déposés à la Caisse des dépôts et consignations par les </w:t>
      </w:r>
      <w:r w:rsidRPr="00467CCF">
        <w:rPr>
          <w:rFonts w:ascii="Times New Roman" w:eastAsia="Times New Roman" w:hAnsi="Times New Roman" w:cs="Times New Roman"/>
          <w:sz w:val="18"/>
          <w:szCs w:val="18"/>
          <w:lang w:eastAsia="fr-FR"/>
        </w:rPr>
        <w:lastRenderedPageBreak/>
        <w:t>organismes dont cet établissement gère les comptes ; les recettes et les dépenses y sont inscrites avec les dates de valeur déterminées suivant les mêmes règles que pour les autres comptes de dépôt tenus par la Caisse des dépôts et consignations.</w:t>
      </w:r>
      <w:r w:rsidRPr="00467CCF">
        <w:rPr>
          <w:rFonts w:ascii="Times New Roman" w:eastAsia="Times New Roman" w:hAnsi="Times New Roman" w:cs="Times New Roman"/>
          <w:sz w:val="18"/>
          <w:szCs w:val="18"/>
          <w:lang w:eastAsia="fr-FR"/>
        </w:rPr>
        <w:br/>
        <w:t>Les achats ou souscriptions de valeurs mobilières effectués dans les conditions fixées à l'article R. 420-47 ainsi que les aliénations desdites valeurs sont opérés sur l'initiative du représentant qualifié du fonds.</w:t>
      </w:r>
      <w:r w:rsidRPr="00467CCF">
        <w:rPr>
          <w:rFonts w:ascii="Times New Roman" w:eastAsia="Times New Roman" w:hAnsi="Times New Roman" w:cs="Times New Roman"/>
          <w:sz w:val="18"/>
          <w:szCs w:val="18"/>
          <w:lang w:eastAsia="fr-FR"/>
        </w:rPr>
        <w:br/>
        <w:t>Ils font l'objet d'ordres d'achat ou de vente adressés à la Caisse des dépôts et consignations qui en assure l'exécution.</w:t>
      </w:r>
      <w:r w:rsidRPr="00467CCF">
        <w:rPr>
          <w:rFonts w:ascii="Times New Roman" w:eastAsia="Times New Roman" w:hAnsi="Times New Roman" w:cs="Times New Roman"/>
          <w:sz w:val="18"/>
          <w:szCs w:val="18"/>
          <w:lang w:eastAsia="fr-FR"/>
        </w:rPr>
        <w:br/>
        <w:t>La Caisse des dépôts et consignations conserve gratuitement les valeurs composant le portefeuille du fonds et reçoit, aux diverses échéances, les arrérages et intérêts. Elle encaisse, lorsqu’il y a lieu, les sommes provenant du remboursement total ou partiel des titres ainsi que des lots et primes attribués.</w:t>
      </w:r>
    </w:p>
    <w:p w14:paraId="7DAADD6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420-46</w:t>
      </w:r>
    </w:p>
    <w:p w14:paraId="1EFD6A0E"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compte prévu à l'article R. 420-45 comporte :</w:t>
      </w:r>
      <w:r w:rsidRPr="00467CCF">
        <w:rPr>
          <w:rFonts w:ascii="Times New Roman" w:eastAsia="Times New Roman" w:hAnsi="Times New Roman" w:cs="Times New Roman"/>
          <w:sz w:val="18"/>
          <w:szCs w:val="18"/>
          <w:lang w:eastAsia="fr-FR"/>
        </w:rPr>
        <w:br/>
        <w:t>En recettes :</w:t>
      </w:r>
      <w:r w:rsidRPr="00467CCF">
        <w:rPr>
          <w:rFonts w:ascii="Times New Roman" w:eastAsia="Times New Roman" w:hAnsi="Times New Roman" w:cs="Times New Roman"/>
          <w:sz w:val="18"/>
          <w:szCs w:val="18"/>
          <w:lang w:eastAsia="fr-FR"/>
        </w:rPr>
        <w:br/>
        <w:t>1° Les sommes versées par le fonds de garantie ou à son compte par les services de la direction générale des impôts ;</w:t>
      </w:r>
      <w:r w:rsidRPr="00467CCF">
        <w:rPr>
          <w:rFonts w:ascii="Times New Roman" w:eastAsia="Times New Roman" w:hAnsi="Times New Roman" w:cs="Times New Roman"/>
          <w:sz w:val="18"/>
          <w:szCs w:val="18"/>
          <w:lang w:eastAsia="fr-FR"/>
        </w:rPr>
        <w:br/>
        <w:t>2° Les revenus et arrérages ainsi que le produit des remboursements des valeurs composant le portefeuille déposé à la Caisse des dépôts et consignations au nom du fonds.</w:t>
      </w:r>
      <w:r w:rsidRPr="00467CCF">
        <w:rPr>
          <w:rFonts w:ascii="Times New Roman" w:eastAsia="Times New Roman" w:hAnsi="Times New Roman" w:cs="Times New Roman"/>
          <w:sz w:val="18"/>
          <w:szCs w:val="18"/>
          <w:lang w:eastAsia="fr-FR"/>
        </w:rPr>
        <w:br/>
        <w:t>En dépenses:</w:t>
      </w:r>
      <w:r w:rsidRPr="00467CCF">
        <w:rPr>
          <w:rFonts w:ascii="Times New Roman" w:eastAsia="Times New Roman" w:hAnsi="Times New Roman" w:cs="Times New Roman"/>
          <w:sz w:val="18"/>
          <w:szCs w:val="18"/>
          <w:lang w:eastAsia="fr-FR"/>
        </w:rPr>
        <w:br/>
        <w:t>1° Les sommes mises par la Caisse des dépôts et consignations à la disposition du fonds au vu d'une décision de retrait prise par son représentant qualifié ;</w:t>
      </w:r>
      <w:r w:rsidRPr="00467CCF">
        <w:rPr>
          <w:rFonts w:ascii="Times New Roman" w:eastAsia="Times New Roman" w:hAnsi="Times New Roman" w:cs="Times New Roman"/>
          <w:sz w:val="18"/>
          <w:szCs w:val="18"/>
          <w:lang w:eastAsia="fr-FR"/>
        </w:rPr>
        <w:br/>
        <w:t>2° Le montant des achats de valeurs mobilières acquises dans les conditions fixées à l'article R-420-47.</w:t>
      </w:r>
    </w:p>
    <w:p w14:paraId="7ADA4B4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420-47</w:t>
      </w:r>
    </w:p>
    <w:p w14:paraId="238641AD" w14:textId="77777777" w:rsidR="00467CCF" w:rsidRPr="00467CCF" w:rsidRDefault="00467CCF" w:rsidP="008525D6">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L’excédent des ressources du fonds de garantie sur ses dépenses courantes est placé en valeurs mobilières et immobilières mentionnées à l’article R. 332-2.</w:t>
      </w:r>
    </w:p>
    <w:p w14:paraId="709258E5"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6 - Rôle du fonds de garantie en cas de retrait d’agrément administratif d’une entreprise d’assurance automobile</w:t>
      </w:r>
    </w:p>
    <w:p w14:paraId="39693B3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420-48</w:t>
      </w:r>
    </w:p>
    <w:p w14:paraId="151231F5"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liquidation des opérations réalisées par l'entreprise cédante antérieurement à la date de prise d'effet du transfert d'office mentionné à l’article L. 324-5 fait l'objet, de la part de l'entreprise cessionnaire, d'une comptabilité spéciale établie selon les règles applicables à la comptabilité des opérations d'assurance.</w:t>
      </w:r>
      <w:r w:rsidRPr="00467CCF">
        <w:rPr>
          <w:rFonts w:ascii="Times New Roman" w:eastAsia="Times New Roman" w:hAnsi="Times New Roman" w:cs="Times New Roman"/>
          <w:sz w:val="18"/>
          <w:szCs w:val="18"/>
          <w:lang w:eastAsia="fr-FR"/>
        </w:rPr>
        <w:br/>
        <w:t>Les sinistres survenus avant la date de prise d'effet du transfert entrent dans la liquidation des opérations de l'entreprise cédante. Les primes ou cotisations échues avant cette même date, déduction faite des commissions, sont affectées à la liquidation au prorata du temps écoulé entre la date d'échéance des primes ou cotisations et la date d'effet du transfert.</w:t>
      </w:r>
      <w:r w:rsidRPr="00467CCF">
        <w:rPr>
          <w:rFonts w:ascii="Times New Roman" w:eastAsia="Times New Roman" w:hAnsi="Times New Roman" w:cs="Times New Roman"/>
          <w:sz w:val="18"/>
          <w:szCs w:val="18"/>
          <w:lang w:eastAsia="fr-FR"/>
        </w:rPr>
        <w:br/>
        <w:t>Les rappels de prime ou cotisation décidés par l'entreprise cédante, dans les conditions prévues à l'article L. 323-6, entrent dans l’actif de la liquidation.</w:t>
      </w:r>
      <w:r w:rsidRPr="00467CCF">
        <w:rPr>
          <w:rFonts w:ascii="Times New Roman" w:eastAsia="Times New Roman" w:hAnsi="Times New Roman" w:cs="Times New Roman"/>
          <w:sz w:val="18"/>
          <w:szCs w:val="18"/>
          <w:lang w:eastAsia="fr-FR"/>
        </w:rPr>
        <w:br/>
        <w:t>Lorsque les comptes de la liquidation sont suffisamment avancés pour permettre d'apprécier le solde de celle-ci, le ministre de l'économie et des finances peut autoriser l'entreprise cessionnaire à cesser de tenir la comptabilité spéciale prévue au premier alinéa du présent article. Si, à cette date, la liquidation fait apparaître l'existence d'un solde excédentaire, après remboursement au fonds de garantie de la contribution financière éventuellement mise à sa charge, ce solde fait immédiatement l'objet d'une répartition entre les anciens actionnaires ou associés de l'entreprise cédante.</w:t>
      </w:r>
    </w:p>
    <w:p w14:paraId="7613509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420-49</w:t>
      </w:r>
    </w:p>
    <w:p w14:paraId="5E073008"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contribution financière dont peut bénéficier l'entreprise cessionnaire dans les conditions prévues à l'avant-dernier alinéa de l'article L. 326-16 est fixée en proportion de l'insuffisance des ressources de l'entreprise cédante.</w:t>
      </w:r>
      <w:r w:rsidRPr="00467CCF">
        <w:rPr>
          <w:rFonts w:ascii="Times New Roman" w:eastAsia="Times New Roman" w:hAnsi="Times New Roman" w:cs="Times New Roman"/>
          <w:sz w:val="18"/>
          <w:szCs w:val="18"/>
          <w:lang w:eastAsia="fr-FR"/>
        </w:rPr>
        <w:br/>
        <w:t>Cette insuffisance est appréciée en comparant à la date d'effet du transfert, d'une part, le montant de la provision pour indemnités à payer à la suite des dommages mentionnés à l'article L. 211-1 et assurés par l'entreprise et, d'autre part, le montant des éléments d'actif qui peuvent être affectés à la couverture de cette provision.</w:t>
      </w:r>
      <w:r w:rsidRPr="00467CCF">
        <w:rPr>
          <w:rFonts w:ascii="Times New Roman" w:eastAsia="Times New Roman" w:hAnsi="Times New Roman" w:cs="Times New Roman"/>
          <w:sz w:val="18"/>
          <w:szCs w:val="18"/>
          <w:lang w:eastAsia="fr-FR"/>
        </w:rPr>
        <w:br/>
        <w:t>Le fonds de garantie s'acquitte de sa contribution par un ou plusieurs versements successifs dont le ministre de l'économie et des finances fixe le montant en fonction des éléments d'actif et de passif mentionnés à l'alinéa précédent et de l'évolution de ces éléments au cours de la liquidation de l'entreprise cédante.</w:t>
      </w:r>
      <w:r w:rsidRPr="00467CCF">
        <w:rPr>
          <w:rFonts w:ascii="Times New Roman" w:eastAsia="Times New Roman" w:hAnsi="Times New Roman" w:cs="Times New Roman"/>
          <w:sz w:val="18"/>
          <w:szCs w:val="18"/>
          <w:lang w:eastAsia="fr-FR"/>
        </w:rPr>
        <w:br/>
        <w:t>La contribution financière mise à la charge du fonds de garantie peut être égale à la totalité de l'insuffisance mentionnée au premier alinéa du présent article. Dans ce cas, l'entreprise cessionnaire est tenue de se conformer aux instructions du fonds de garantie pour le règlement des sinistres entrant dans la liquidation des opérations de l'entreprise cédante et concernant les dommages causés aux tiers par les véhicules terrestres à moteur qu'elle assurait.</w:t>
      </w:r>
    </w:p>
    <w:p w14:paraId="54CA7CE5"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lastRenderedPageBreak/>
        <w:t>Art. R. 420-50</w:t>
      </w:r>
    </w:p>
    <w:p w14:paraId="77263CCC"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Lorsque, par suite du retrait d'agrément d'une entreprise, le fonds de garantie prend en charge l'indemnisation des dommages corporels et matériels causés aux tiers par les véhicules terrestres à moteur assurés, cette prise en charge s'effectue dans les conditions et limites de garantie prévues par les contrats d'assurance souscrits auprès de cette entreprise.</w:t>
      </w:r>
      <w:r w:rsidRPr="00467CCF">
        <w:rPr>
          <w:rFonts w:ascii="Times New Roman" w:eastAsia="Times New Roman" w:hAnsi="Times New Roman" w:cs="Times New Roman"/>
          <w:sz w:val="18"/>
          <w:szCs w:val="18"/>
          <w:lang w:eastAsia="fr-FR"/>
        </w:rPr>
        <w:br/>
        <w:t>Le fonds est substitué à l'assureur pour les obligations et les droits mentionnés à l'article R. 211-13.</w:t>
      </w:r>
      <w:r w:rsidRPr="00467CCF">
        <w:rPr>
          <w:rFonts w:ascii="Times New Roman" w:eastAsia="Times New Roman" w:hAnsi="Times New Roman" w:cs="Times New Roman"/>
          <w:sz w:val="18"/>
          <w:szCs w:val="18"/>
          <w:lang w:eastAsia="fr-FR"/>
        </w:rPr>
        <w:br/>
        <w:t>Le liquidateur effectue, sur demande et pour le compte du fonds, les enquêtes et formalités nécessaires à l'exercice des recours prévu à l'alinéa précédent ainsi que, le cas échéant, à l'exercice des recours contre les coresponsables. Les sommes récupérées par le fonds à la suite de ces recours viennent en déduction de sa créance sur la liquidation.</w:t>
      </w:r>
    </w:p>
    <w:p w14:paraId="10F755A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420-51</w:t>
      </w:r>
    </w:p>
    <w:p w14:paraId="7B9C83CF"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Sous réserve des dispositions du dernier alinéa de l’article R. 420-50, le liquidateur désigné à la suite du retrait d'agrément dans les conditions prévues à l'article L. 326-2, gère, suivant les directives du fonds de garantie, les dossiers relatifs à l'indemnisation des dommages causés aux tiers par les véhicules terrestres à moteur assurés auprès de l'entreprise en liquidation. Il doit, sur demande du fonds, lui fournir toutes explications ou lui communiquer tous documents relatifs à ces dossiers.</w:t>
      </w:r>
      <w:r w:rsidRPr="00467CCF">
        <w:rPr>
          <w:rFonts w:ascii="Times New Roman" w:eastAsia="Times New Roman" w:hAnsi="Times New Roman" w:cs="Times New Roman"/>
          <w:sz w:val="18"/>
          <w:szCs w:val="18"/>
          <w:lang w:eastAsia="fr-FR"/>
        </w:rPr>
        <w:br/>
        <w:t>Les frais et dépenses de toute nature afférents à cette gestion sont à la charge de la liquidation.</w:t>
      </w:r>
    </w:p>
    <w:p w14:paraId="3E798E3E"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420-52</w:t>
      </w:r>
    </w:p>
    <w:p w14:paraId="5852A5AE"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Pour la détermination du principe ou de l'étendue de leur droit à indemnisation, les tiers lésés ne peuvent citer le fonds de garantie en justice, notamment en déclaration de jugement commun. Il en est de même des assurés pour leurs actions en revendication de garantie.</w:t>
      </w:r>
    </w:p>
    <w:p w14:paraId="75AAF726"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420-53</w:t>
      </w:r>
    </w:p>
    <w:p w14:paraId="3AD85F12"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liquidateur ne peut acquiescer à une décision de justice, conclure une transaction ou opposer une exception au tiers lésé, qu'après avoir obtenu l'accord du fonds de garantie.</w:t>
      </w:r>
    </w:p>
    <w:p w14:paraId="19C40F88"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420-54</w:t>
      </w:r>
    </w:p>
    <w:p w14:paraId="11948DA8"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Dans le cas où, par suite de l'insuffisance du montant de la garantie stipulée au contrat, une part de l'indemnité reste à la charge de l'auteur responsable des dommages, le liquidateur envoie à ce dernier la sommation prévue à l'article R. 420-11.</w:t>
      </w:r>
      <w:r w:rsidRPr="00467CCF">
        <w:rPr>
          <w:rFonts w:ascii="Times New Roman" w:eastAsia="Times New Roman" w:hAnsi="Times New Roman" w:cs="Times New Roman"/>
          <w:sz w:val="18"/>
          <w:szCs w:val="18"/>
          <w:lang w:eastAsia="fr-FR"/>
        </w:rPr>
        <w:br/>
        <w:t>Si cette sommation n'a pas été suivie d'effet à l'expiration d'un délai d'un mois, le liquidateur en avise le fonds de garantie, qui met à la disposition du liquidateur le complément d'indemnité dû et exerce contre le responsable l'action récursoire prévue à l'article R. 420-23.</w:t>
      </w:r>
    </w:p>
    <w:p w14:paraId="0B0B10D2"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420-55</w:t>
      </w:r>
    </w:p>
    <w:p w14:paraId="4290F0E6"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fonds de garantie met à la disposition du liquidateur les sommes nécessaires, au paiement des indemnités et leur montant est inscrit au passif de la liquidation. Le fonds peut toutefois demander au liquidateur d'imputer, à due concurrence, le paiement des indemnités à sa charge sur les fonds que le liquidateur détient au titre du produit du rappel de prime ou cotisation.</w:t>
      </w:r>
    </w:p>
    <w:p w14:paraId="4D7692A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420-56</w:t>
      </w:r>
    </w:p>
    <w:p w14:paraId="58E3F39E"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Il est ouvert dans les écritures du fonds de garantie une section spéciale intitulée “opérations exceptionnelles du fonds de garantie” dans laquelle sont inscrites les dépenses et les recettes afférentes à l'intervention du fonds en application des dispositions de l'article L. 326-17.</w:t>
      </w:r>
      <w:r w:rsidRPr="00467CCF">
        <w:rPr>
          <w:rFonts w:ascii="Times New Roman" w:eastAsia="Times New Roman" w:hAnsi="Times New Roman" w:cs="Times New Roman"/>
          <w:sz w:val="18"/>
          <w:szCs w:val="18"/>
          <w:lang w:eastAsia="fr-FR"/>
        </w:rPr>
        <w:br/>
        <w:t>La contribution financière qui peut être imposée au fonds de garantie, dans le cas de transfert d'office, est inscrite à la même section.</w:t>
      </w:r>
    </w:p>
    <w:p w14:paraId="3C05D907"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7 - Dispositions particulières aux départements d’outre-mer</w:t>
      </w:r>
    </w:p>
    <w:p w14:paraId="4763B935"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420-57</w:t>
      </w:r>
    </w:p>
    <w:p w14:paraId="57C51406"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Ne sont pas applicables dans les départements d'outre-mer les dispositions de la section 2, ainsi que celles des dispositions des sections 3, 4 et 5 du présent chapitre qui concernent les accidents de chasse.</w:t>
      </w:r>
    </w:p>
    <w:p w14:paraId="3E9E07FE"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lastRenderedPageBreak/>
        <w:t>Section 8 - Dispositions particulières aux territoires d’outre-mer</w:t>
      </w:r>
    </w:p>
    <w:p w14:paraId="4FA55EA2"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420-58</w:t>
      </w:r>
    </w:p>
    <w:p w14:paraId="162C5202"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Sont applicables dans les territoires de la Nouvelle-Calédonie, de la Polynésie française, de Saint-Pierre et Miquelon, des Terres australes et antarctiques françaises et de Wallis et Futuna :</w:t>
      </w:r>
      <w:r w:rsidRPr="00467CCF">
        <w:rPr>
          <w:rFonts w:ascii="Times New Roman" w:eastAsia="Times New Roman" w:hAnsi="Times New Roman" w:cs="Times New Roman"/>
          <w:sz w:val="18"/>
          <w:szCs w:val="18"/>
          <w:lang w:eastAsia="fr-FR"/>
        </w:rPr>
        <w:br/>
        <w:t>Les sections 1 et 6 du présent chapitre ;</w:t>
      </w:r>
      <w:r w:rsidRPr="00467CCF">
        <w:rPr>
          <w:rFonts w:ascii="Times New Roman" w:eastAsia="Times New Roman" w:hAnsi="Times New Roman" w:cs="Times New Roman"/>
          <w:sz w:val="18"/>
          <w:szCs w:val="18"/>
          <w:lang w:eastAsia="fr-FR"/>
        </w:rPr>
        <w:br/>
        <w:t>Les sections 3 et 5 du présent chapitre, dans la mesure où elles concernent les accidents d'automobile.</w:t>
      </w:r>
    </w:p>
    <w:p w14:paraId="3D52D272"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420-59</w:t>
      </w:r>
    </w:p>
    <w:p w14:paraId="2D603057"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Est applicable aux seuls territoires de Saint-Pierre et Miquelon et de Wallis et Futuna l'article L. 420-7 relatif aux mesures conservatoires édictées au profit de la victime ou du fonds de garantie.</w:t>
      </w:r>
    </w:p>
    <w:p w14:paraId="5E2B33A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420-60</w:t>
      </w:r>
    </w:p>
    <w:p w14:paraId="3A6A44EC"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Dans les limites et conditions fixées par les dispositions législatives et réglementaires mentionnées à l'article L. 420-10 et aux articles R. 420-58 et R. 420-59, le fonds de garantie prend en charge les indemnités dues aux victimes d'accidents survenus dans les territoires mentionnés à R. 420-58.</w:t>
      </w:r>
      <w:r w:rsidRPr="00467CCF">
        <w:rPr>
          <w:rFonts w:ascii="Times New Roman" w:eastAsia="Times New Roman" w:hAnsi="Times New Roman" w:cs="Times New Roman"/>
          <w:sz w:val="18"/>
          <w:szCs w:val="18"/>
          <w:lang w:eastAsia="fr-FR"/>
        </w:rPr>
        <w:br/>
        <w:t>Toutefois, ne sont pas pris en charge :</w:t>
      </w:r>
      <w:r w:rsidRPr="00467CCF">
        <w:rPr>
          <w:rFonts w:ascii="Times New Roman" w:eastAsia="Times New Roman" w:hAnsi="Times New Roman" w:cs="Times New Roman"/>
          <w:sz w:val="18"/>
          <w:szCs w:val="18"/>
          <w:lang w:eastAsia="fr-FR"/>
        </w:rPr>
        <w:br/>
        <w:t>a) Les dommages causés par des véhicules terrestres à moteur pour lesquels l'assurance en matière de circulation n'est pas obligatoire au regard de la réglementation de ces territoires ;</w:t>
      </w:r>
      <w:r w:rsidRPr="00467CCF">
        <w:rPr>
          <w:rFonts w:ascii="Times New Roman" w:eastAsia="Times New Roman" w:hAnsi="Times New Roman" w:cs="Times New Roman"/>
          <w:sz w:val="18"/>
          <w:szCs w:val="18"/>
          <w:lang w:eastAsia="fr-FR"/>
        </w:rPr>
        <w:br/>
        <w:t>b) Les dommages causés par un auteur identifié ayant satisfait à l'obligation d'assurance en vigueur dans le territoire considéré et qui ne seraient pas supportés par le fonds de garantie en métropole lorsque l'obligation d'assurance y a été respectée.</w:t>
      </w:r>
      <w:r w:rsidRPr="00467CCF">
        <w:rPr>
          <w:rFonts w:ascii="Times New Roman" w:eastAsia="Times New Roman" w:hAnsi="Times New Roman" w:cs="Times New Roman"/>
          <w:sz w:val="18"/>
          <w:szCs w:val="18"/>
          <w:lang w:eastAsia="fr-FR"/>
        </w:rPr>
        <w:br/>
        <w:t>Des dérogations aux dispositions du b ci-dessus peuvent être admises par arrêté conjoint du ministre chargé des départements et territoires d'outre-mer et du ministre de l'économie et des finances, en fonction des conditions particulières de la circulation automobile ou du régime d'indemnisation des victimes d'accidents automobiles dans les territoires d'outre-mer susmentionnés.</w:t>
      </w:r>
      <w:r w:rsidRPr="00467CCF">
        <w:rPr>
          <w:rFonts w:ascii="Times New Roman" w:eastAsia="Times New Roman" w:hAnsi="Times New Roman" w:cs="Times New Roman"/>
          <w:sz w:val="18"/>
          <w:szCs w:val="18"/>
          <w:lang w:eastAsia="fr-FR"/>
        </w:rPr>
        <w:br/>
        <w:t>La prise en charge du fonds de garantie ne s'applique qu'aux conséquences d'accidents survenus après la date d'entrée en vigueur prévue par l'article R. 420-63.</w:t>
      </w:r>
    </w:p>
    <w:p w14:paraId="19E2D9BE"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420-61</w:t>
      </w:r>
    </w:p>
    <w:p w14:paraId="2EC816DB"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contribution des assurés prévue au 3° de l'article R. 420-27 est perçue sur les primes et cotisations définies audit article et émises dans les territoires d'outre-mer mentionnés à la présente section postérieurement à la date de son entrée en vigueur.</w:t>
      </w:r>
      <w:r w:rsidRPr="00467CCF">
        <w:rPr>
          <w:rFonts w:ascii="Times New Roman" w:eastAsia="Times New Roman" w:hAnsi="Times New Roman" w:cs="Times New Roman"/>
          <w:sz w:val="18"/>
          <w:szCs w:val="18"/>
          <w:lang w:eastAsia="fr-FR"/>
        </w:rPr>
        <w:br/>
        <w:t>La contribution des responsables d'accidents non bénéficiaires d'une assurance, prévue au 2° de l'article R. 420-27, est perçue à l'occasion des accidents survenus dans les territoires d'outre-mer mentionnés à la présente section, postérieurement à cette même date.</w:t>
      </w:r>
    </w:p>
    <w:p w14:paraId="4D21985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420-62</w:t>
      </w:r>
    </w:p>
    <w:p w14:paraId="1CDD1D37"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comptables publics, consignataires des extraits de jugements et d'arrêts, recouvrent, dans les mêmes conditions que les amendes, la majoration de 50 p. 100 instituée au profit du fonds de garantie par l'article L. 420-10 ; deuxième alinéa.</w:t>
      </w:r>
      <w:r w:rsidRPr="00467CCF">
        <w:rPr>
          <w:rFonts w:ascii="Times New Roman" w:eastAsia="Times New Roman" w:hAnsi="Times New Roman" w:cs="Times New Roman"/>
          <w:sz w:val="18"/>
          <w:szCs w:val="18"/>
          <w:lang w:eastAsia="fr-FR"/>
        </w:rPr>
        <w:br/>
        <w:t>Les encaissements au titre de cette majoration sont versés trimestriellement au fonds de garantie sous déduction d'un prélèvement de 3 p. 100. Le produit de ce prélèvement est rattaché au budget du ministère de l'économie et des finances et sert à couvrir, dans les limites et conditions déterminées par arrêté du ministre de l'économie et des finances, les dépenses de matériel et de personnel résultant des recouvrement effectués pour le compte du fonds de garantie dans les territoires d'outre-mer mentionnés à l'article R. 420-58.</w:t>
      </w:r>
    </w:p>
    <w:p w14:paraId="69B68CE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420-63</w:t>
      </w:r>
    </w:p>
    <w:p w14:paraId="1B47CC5D"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dispositions des articles R. 420-58 à R. 420-62 sont applicables à la Nouvelle-Calédonie, à la Polynésie française et à Saint-Pierre et Miquelon.</w:t>
      </w:r>
      <w:r w:rsidRPr="00467CCF">
        <w:rPr>
          <w:rFonts w:ascii="Times New Roman" w:eastAsia="Times New Roman" w:hAnsi="Times New Roman" w:cs="Times New Roman"/>
          <w:sz w:val="18"/>
          <w:szCs w:val="18"/>
          <w:lang w:eastAsia="fr-FR"/>
        </w:rPr>
        <w:br/>
        <w:t>Les mêmes dispositions entrent en vigueur dans le territoire de Wallis et Futuna le premier jour du trimestre civil suivant la publication de l'arrêté rendant exécutoire la délibération édictant une obligation d'assurance de la responsabilité civile en matière de circulation automobile.</w:t>
      </w:r>
    </w:p>
    <w:p w14:paraId="2C77D4D7" w14:textId="77777777" w:rsidR="00467CCF" w:rsidRPr="00467CCF" w:rsidRDefault="00467CCF" w:rsidP="00467CCF">
      <w:pPr>
        <w:spacing w:after="0" w:line="240" w:lineRule="auto"/>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Titre III - Organisme particuliers d’assurance</w:t>
      </w:r>
    </w:p>
    <w:p w14:paraId="0C2D19C5" w14:textId="77777777" w:rsidR="00467CCF" w:rsidRPr="00467CCF" w:rsidRDefault="00467CCF" w:rsidP="00467CCF">
      <w:pPr>
        <w:spacing w:after="0" w:line="240" w:lineRule="auto"/>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lastRenderedPageBreak/>
        <w:t>Chapitre Ier - La caisse centrale de réassurance</w:t>
      </w:r>
    </w:p>
    <w:p w14:paraId="39424FFE"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2 - Opérations effectuées avec la garantie de l'Etat</w:t>
      </w:r>
      <w:r w:rsidRPr="00467CCF">
        <w:rPr>
          <w:rFonts w:ascii="Times New Roman" w:eastAsia="Times New Roman" w:hAnsi="Times New Roman" w:cs="Times New Roman"/>
          <w:b/>
          <w:bCs/>
          <w:caps/>
          <w:sz w:val="20"/>
          <w:szCs w:val="20"/>
          <w:lang w:eastAsia="fr-FR"/>
        </w:rPr>
        <w:br/>
      </w:r>
      <w:r w:rsidRPr="00467CCF">
        <w:rPr>
          <w:rFonts w:ascii="Times New Roman" w:eastAsia="Times New Roman" w:hAnsi="Times New Roman" w:cs="Times New Roman"/>
          <w:i/>
          <w:iCs/>
          <w:sz w:val="15"/>
          <w:szCs w:val="15"/>
          <w:lang w:eastAsia="fr-FR"/>
        </w:rPr>
        <w:t>Rédaction issue de Décret n° 85-864 du 2 août 1985 (</w:t>
      </w:r>
      <w:hyperlink r:id="rId26"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40038A4E"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 2 - Risques exceptionnels et nucléaires</w:t>
      </w:r>
      <w:r w:rsidRPr="00467CCF">
        <w:rPr>
          <w:rFonts w:ascii="Times New Roman" w:eastAsia="Times New Roman" w:hAnsi="Times New Roman" w:cs="Times New Roman"/>
          <w:b/>
          <w:bCs/>
          <w:caps/>
          <w:sz w:val="20"/>
          <w:szCs w:val="20"/>
          <w:lang w:eastAsia="fr-FR"/>
        </w:rPr>
        <w:br/>
      </w:r>
      <w:r w:rsidRPr="00467CCF">
        <w:rPr>
          <w:rFonts w:ascii="Times New Roman" w:eastAsia="Times New Roman" w:hAnsi="Times New Roman" w:cs="Times New Roman"/>
          <w:i/>
          <w:iCs/>
          <w:sz w:val="15"/>
          <w:szCs w:val="15"/>
          <w:lang w:eastAsia="fr-FR"/>
        </w:rPr>
        <w:t>Rédaction issue de Décret n° 85-864 du 2 août 1985 (</w:t>
      </w:r>
      <w:hyperlink r:id="rId27"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62DDB3AA"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431-17</w:t>
      </w:r>
      <w:r w:rsidRPr="00467CCF">
        <w:rPr>
          <w:rFonts w:ascii="Times New Roman" w:eastAsia="Times New Roman" w:hAnsi="Times New Roman" w:cs="Times New Roman"/>
          <w:i/>
          <w:iCs/>
          <w:sz w:val="16"/>
          <w:szCs w:val="16"/>
          <w:lang w:eastAsia="fr-FR"/>
        </w:rPr>
        <w:t>Rédaction issue de Décret n° 85-864 du 2 août 1985 (</w:t>
      </w:r>
      <w:hyperlink r:id="rId28"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6E427F16"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caisse centrale de réassurance peut accepter d'assurer ou de réassurer, avec la garantie de l'Etat, les risques mentionnés à l'article L. 431-4 lorsque les biens concernés sont propriété française ou immatriculés en France ou lorsque le souscripteur de la police ou le bénéficiaire de l'indemnité est de nationalité française.</w:t>
      </w:r>
    </w:p>
    <w:p w14:paraId="08125247"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431-18</w:t>
      </w:r>
      <w:r w:rsidRPr="00467CCF">
        <w:rPr>
          <w:rFonts w:ascii="Times New Roman" w:eastAsia="Times New Roman" w:hAnsi="Times New Roman" w:cs="Times New Roman"/>
          <w:i/>
          <w:iCs/>
          <w:sz w:val="16"/>
          <w:szCs w:val="16"/>
          <w:lang w:eastAsia="fr-FR"/>
        </w:rPr>
        <w:t>Rédaction issue de Décret n° 85-864 du 2 août 1985 (</w:t>
      </w:r>
      <w:hyperlink r:id="rId29"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41EB14D5"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caisse centrale de réassurance, agissant avec la garantie de l'Etat, peut réassurer les risques mentionnés à l'article L. 431-4 lorsque les biens ou intérêts concernés donnent lieu à une garantie pour la souscription de laquelle intervient une entreprise agréée en France pour pratiquer les risques correspondants.</w:t>
      </w:r>
    </w:p>
    <w:p w14:paraId="728AFB3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431-19</w:t>
      </w:r>
      <w:r w:rsidRPr="00467CCF">
        <w:rPr>
          <w:rFonts w:ascii="Times New Roman" w:eastAsia="Times New Roman" w:hAnsi="Times New Roman" w:cs="Times New Roman"/>
          <w:i/>
          <w:iCs/>
          <w:sz w:val="16"/>
          <w:szCs w:val="16"/>
          <w:lang w:eastAsia="fr-FR"/>
        </w:rPr>
        <w:t>Rédaction issue de Décret n° 85-864 du 2 août 1985 (</w:t>
      </w:r>
      <w:hyperlink r:id="rId30"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58D3F333"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caisse centrale de réassurance, agissant avec la garantie de l'Etat, peut accorder sa couverture aux risques mentionnés à l'article L. 431-4 lorsque les biens ou intérêts concernés sont réassurés par une entreprise dont le siège social est établi sur le territoire d'un Etat membre de la Communauté économique européenne. Les opérations effectuées à ce titre par la caisse centrale de réassurance font l'objet d'un compte rendu au ministre chargé de l'économie et des finances selon les modalités qu'il définit.</w:t>
      </w:r>
    </w:p>
    <w:p w14:paraId="5625C85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431-20</w:t>
      </w:r>
      <w:r w:rsidRPr="00467CCF">
        <w:rPr>
          <w:rFonts w:ascii="Times New Roman" w:eastAsia="Times New Roman" w:hAnsi="Times New Roman" w:cs="Times New Roman"/>
          <w:i/>
          <w:iCs/>
          <w:sz w:val="16"/>
          <w:szCs w:val="16"/>
          <w:lang w:eastAsia="fr-FR"/>
        </w:rPr>
        <w:t>Rédaction issue de Décret n° 85-864 du 2 août 1985 (</w:t>
      </w:r>
      <w:hyperlink r:id="rId31"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028473A7"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Il est constitué auprès de la caisse centrale de réassurance une commission consultative des garanties des risques exceptionnels et nucléaires, qui comprend :</w:t>
      </w:r>
      <w:r w:rsidRPr="00467CCF">
        <w:rPr>
          <w:rFonts w:ascii="Times New Roman" w:eastAsia="Times New Roman" w:hAnsi="Times New Roman" w:cs="Times New Roman"/>
          <w:sz w:val="18"/>
          <w:szCs w:val="18"/>
          <w:lang w:eastAsia="fr-FR"/>
        </w:rPr>
        <w:br/>
        <w:t>1° Un magistrat de la Cour des comptes désigné par le premier président de la Cour des comptes, président, suppléé en cas d'empêchement par un autre magistrat de la Cour des comptes, désigné dans les mêmes conditions ;</w:t>
      </w:r>
      <w:r w:rsidRPr="00467CCF">
        <w:rPr>
          <w:rFonts w:ascii="Times New Roman" w:eastAsia="Times New Roman" w:hAnsi="Times New Roman" w:cs="Times New Roman"/>
          <w:sz w:val="18"/>
          <w:szCs w:val="18"/>
          <w:lang w:eastAsia="fr-FR"/>
        </w:rPr>
        <w:br/>
        <w:t>2° Un représentant du ministre chargé de l'économie et des finances, du ministre chargé des transports, du ministre chargé de l'industrie, du secrétaire d'Etat chargé du budget et du ministre chargé de la mer ;</w:t>
      </w:r>
      <w:r w:rsidRPr="00467CCF">
        <w:rPr>
          <w:rFonts w:ascii="Times New Roman" w:eastAsia="Times New Roman" w:hAnsi="Times New Roman" w:cs="Times New Roman"/>
          <w:sz w:val="18"/>
          <w:szCs w:val="18"/>
          <w:lang w:eastAsia="fr-FR"/>
        </w:rPr>
        <w:br/>
        <w:t>3° Un représentant de la fédération française des sociétés d'assurances et le président du conseil d'administration, directeur général de la caisse centrale de réassurance, ou son représentant chargé de la présentation des dossiers soumis à la commission.</w:t>
      </w:r>
      <w:r w:rsidRPr="00467CCF">
        <w:rPr>
          <w:rFonts w:ascii="Times New Roman" w:eastAsia="Times New Roman" w:hAnsi="Times New Roman" w:cs="Times New Roman"/>
          <w:sz w:val="18"/>
          <w:szCs w:val="18"/>
          <w:lang w:eastAsia="fr-FR"/>
        </w:rPr>
        <w:br/>
        <w:t>Le président peut inviter à participer aux travaux de la commission toute personne dont il lui paraît utile de recueillir l'avis sur une question à l'ordre du jour.</w:t>
      </w:r>
      <w:r w:rsidRPr="00467CCF">
        <w:rPr>
          <w:rFonts w:ascii="Times New Roman" w:eastAsia="Times New Roman" w:hAnsi="Times New Roman" w:cs="Times New Roman"/>
          <w:sz w:val="18"/>
          <w:szCs w:val="18"/>
          <w:lang w:eastAsia="fr-FR"/>
        </w:rPr>
        <w:br/>
        <w:t>Le secrétariat de la commission est assuré par la caisse centrale de réassurance.</w:t>
      </w:r>
    </w:p>
    <w:p w14:paraId="2E55754E"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431-21</w:t>
      </w:r>
      <w:r w:rsidRPr="00467CCF">
        <w:rPr>
          <w:rFonts w:ascii="Times New Roman" w:eastAsia="Times New Roman" w:hAnsi="Times New Roman" w:cs="Times New Roman"/>
          <w:i/>
          <w:iCs/>
          <w:sz w:val="16"/>
          <w:szCs w:val="16"/>
          <w:lang w:eastAsia="fr-FR"/>
        </w:rPr>
        <w:t>Rédaction issue de Décret n° 85-864 du 2 août 1985 (</w:t>
      </w:r>
      <w:hyperlink r:id="rId32"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1F820E8D"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commission consultative des garanties se réunit soit à l'initiative de son président, soit à la demande du ministre chargé de l'économie et des finances, soit à la demande du président du conseil d'administration, directeur général de la caisse centrale de réassurance.</w:t>
      </w:r>
      <w:r w:rsidRPr="00467CCF">
        <w:rPr>
          <w:rFonts w:ascii="Times New Roman" w:eastAsia="Times New Roman" w:hAnsi="Times New Roman" w:cs="Times New Roman"/>
          <w:sz w:val="18"/>
          <w:szCs w:val="18"/>
          <w:lang w:eastAsia="fr-FR"/>
        </w:rPr>
        <w:br/>
        <w:t>Outre les questions dont elle connaît obligatoirement, la commission peut être consultée sur toutes questions sur lesquelles le ministre chargé de l'économie et des finances ou le président du conseil d'administration, directeur général de la caisse centrale de réassurance, souhaitent recueillir son avis.</w:t>
      </w:r>
      <w:r w:rsidRPr="00467CCF">
        <w:rPr>
          <w:rFonts w:ascii="Times New Roman" w:eastAsia="Times New Roman" w:hAnsi="Times New Roman" w:cs="Times New Roman"/>
          <w:sz w:val="18"/>
          <w:szCs w:val="18"/>
          <w:lang w:eastAsia="fr-FR"/>
        </w:rPr>
        <w:br/>
        <w:t>Les avis de la commission sont pris à la majorité des voix ; en cas de partage, la voix du président est prépondérante.</w:t>
      </w:r>
    </w:p>
    <w:p w14:paraId="5B75003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431-22</w:t>
      </w:r>
      <w:r w:rsidRPr="00467CCF">
        <w:rPr>
          <w:rFonts w:ascii="Times New Roman" w:eastAsia="Times New Roman" w:hAnsi="Times New Roman" w:cs="Times New Roman"/>
          <w:i/>
          <w:iCs/>
          <w:sz w:val="16"/>
          <w:szCs w:val="16"/>
          <w:lang w:eastAsia="fr-FR"/>
        </w:rPr>
        <w:t>Rédaction issue de Décret n° 85-864 du 2 août 1985 (</w:t>
      </w:r>
      <w:hyperlink r:id="rId33"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3295A195"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A titre exceptionnel, la caisse centrale de réassurance peut accepter d'assurer ou de réassurer les risques visés à l'article L. 431-4 ne répondant pas aux exigences des articles R. 431-17, R. 431-18 et R. 431-19, après avoir recueilli l'avis de la commission consultative des garanties et obtenu l'accord du ministre chargé de l'économie et des finances.</w:t>
      </w:r>
    </w:p>
    <w:p w14:paraId="3164B10A"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431-23</w:t>
      </w:r>
      <w:r w:rsidRPr="00467CCF">
        <w:rPr>
          <w:rFonts w:ascii="Times New Roman" w:eastAsia="Times New Roman" w:hAnsi="Times New Roman" w:cs="Times New Roman"/>
          <w:i/>
          <w:iCs/>
          <w:sz w:val="16"/>
          <w:szCs w:val="16"/>
          <w:lang w:eastAsia="fr-FR"/>
        </w:rPr>
        <w:t>Rédaction issue de Décret n° 85-864 du 2 août 1985 (</w:t>
      </w:r>
      <w:hyperlink r:id="rId34"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7EE89349"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lastRenderedPageBreak/>
        <w:t>La caisse centrale de réassurance recueille l'avis de la commission consultative des garanties sur les conditions générales des traités de réassurance, avant de les soumettre à l'approbation mentionnée par l'article R. 431-16.</w:t>
      </w:r>
    </w:p>
    <w:p w14:paraId="3B6762B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431-24</w:t>
      </w:r>
      <w:r w:rsidRPr="00467CCF">
        <w:rPr>
          <w:rFonts w:ascii="Times New Roman" w:eastAsia="Times New Roman" w:hAnsi="Times New Roman" w:cs="Times New Roman"/>
          <w:i/>
          <w:iCs/>
          <w:sz w:val="16"/>
          <w:szCs w:val="16"/>
          <w:lang w:eastAsia="fr-FR"/>
        </w:rPr>
        <w:t>Rédaction issue de Décret n° 85-864 du 2 août 1985 (</w:t>
      </w:r>
      <w:hyperlink r:id="rId35"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0843B306"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Après avoir recueilli l'avis de la commission consultative des garanties sur les principes généraux de la tarification, la caisse centrale de réassurance détermine le tarif destiné à lui permettre de faire face aux charges des opérations qu'elle effectue au titre des article L. 431-4 et L. 431-5.</w:t>
      </w:r>
    </w:p>
    <w:p w14:paraId="28378FC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431-25</w:t>
      </w:r>
      <w:r w:rsidRPr="00467CCF">
        <w:rPr>
          <w:rFonts w:ascii="Times New Roman" w:eastAsia="Times New Roman" w:hAnsi="Times New Roman" w:cs="Times New Roman"/>
          <w:i/>
          <w:iCs/>
          <w:sz w:val="16"/>
          <w:szCs w:val="16"/>
          <w:lang w:eastAsia="fr-FR"/>
        </w:rPr>
        <w:t>Rédaction issue de Décret n° 85-864 du 2 août 1985 (</w:t>
      </w:r>
      <w:hyperlink r:id="rId36"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76945BCC"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garantie de l'Etat donne lieu, de la part de la caisse centrale de réassurance, au versement d'une rémunération. Les conditions et modalités de la mise en jeu de la garantie et du versement de cette rémunération font l'objet de conventions passées entre le ministre chargé de l'économie et des finances et le président du conseil d'administration, directeur général de la caisse centrale de réassurance.</w:t>
      </w:r>
    </w:p>
    <w:p w14:paraId="3492A762"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431-26</w:t>
      </w:r>
      <w:r w:rsidRPr="00467CCF">
        <w:rPr>
          <w:rFonts w:ascii="Times New Roman" w:eastAsia="Times New Roman" w:hAnsi="Times New Roman" w:cs="Times New Roman"/>
          <w:i/>
          <w:iCs/>
          <w:sz w:val="16"/>
          <w:szCs w:val="16"/>
          <w:lang w:eastAsia="fr-FR"/>
        </w:rPr>
        <w:t>Rédaction issue de Décret n° 85-864 du 2 août 1985 (</w:t>
      </w:r>
      <w:hyperlink r:id="rId37"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792C2141"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compte distinct ouvert dans les écritures de la caisse centrale de réassurance en application de l'article L. 431-7 fait notamment apparaître les recettes de primes et de commissions et, le cas échéant, les versements effectués par l'Etat au titre de la mise en jeu de la garantie, ainsi que la part des produits correspondant au placement des fonds gérés par la caisse au titre des opérations mentionnées par le présent paragraphe. Il retrace, en dépenses, outre les versements opérés au titre desdites opérations, la part des frais de gestion, commissions, impôts, taxes et frais annexes de toute nature qui leur sont imputables. Il comptabilise les provisions et les réserves propres à ces risques.</w:t>
      </w:r>
    </w:p>
    <w:p w14:paraId="2D04C5D5"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431-27</w:t>
      </w:r>
      <w:r w:rsidRPr="00467CCF">
        <w:rPr>
          <w:rFonts w:ascii="Times New Roman" w:eastAsia="Times New Roman" w:hAnsi="Times New Roman" w:cs="Times New Roman"/>
          <w:i/>
          <w:iCs/>
          <w:sz w:val="16"/>
          <w:szCs w:val="16"/>
          <w:lang w:eastAsia="fr-FR"/>
        </w:rPr>
        <w:t>Rédaction issue de Décret n° 85-864 du 2 août 1985 (</w:t>
      </w:r>
      <w:hyperlink r:id="rId38"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2B2642BD"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caisse centrale de réassurance constitue une provision spéciale pour charges exceptionnelles afférentes aux opérations garantissant les risques mentionnés à l'article L. 431-4.</w:t>
      </w:r>
      <w:r w:rsidRPr="00467CCF">
        <w:rPr>
          <w:rFonts w:ascii="Times New Roman" w:eastAsia="Times New Roman" w:hAnsi="Times New Roman" w:cs="Times New Roman"/>
          <w:sz w:val="18"/>
          <w:szCs w:val="18"/>
          <w:lang w:eastAsia="fr-FR"/>
        </w:rPr>
        <w:br/>
        <w:t>Cette provision est alimentée par un prélèvement sur les primes égal à 0,10 p. 100 de l'estimation de la somme des valeurs garanties par la caisse centrale de réassurance au cours de l'exercice considéré, sans que ce prélèvement puisse excéder le tiers du montant des primes nettes conservées correspondant aux opérations visées ci-dessus.</w:t>
      </w:r>
      <w:r w:rsidRPr="00467CCF">
        <w:rPr>
          <w:rFonts w:ascii="Times New Roman" w:eastAsia="Times New Roman" w:hAnsi="Times New Roman" w:cs="Times New Roman"/>
          <w:sz w:val="18"/>
          <w:szCs w:val="18"/>
          <w:lang w:eastAsia="fr-FR"/>
        </w:rPr>
        <w:br/>
        <w:t>Ce prélèvement cesse d'être obligatoire lorsque la provision spéciale pour charges exceptionnelles atteint un montant égal à la moyenne des cinq risques les plus élevés garantis.</w:t>
      </w:r>
      <w:r w:rsidRPr="00467CCF">
        <w:rPr>
          <w:rFonts w:ascii="Times New Roman" w:eastAsia="Times New Roman" w:hAnsi="Times New Roman" w:cs="Times New Roman"/>
          <w:sz w:val="18"/>
          <w:szCs w:val="18"/>
          <w:lang w:eastAsia="fr-FR"/>
        </w:rPr>
        <w:br/>
        <w:t>Le montant de la provision inscrite dans le compte distinct ouvert dans les écritures de la caisse centrale de réassurance, en application de l'article L. 431-7, est affecté à la provision spéciale pour charges exceptionnelles.</w:t>
      </w:r>
    </w:p>
    <w:p w14:paraId="75DB15A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431-28</w:t>
      </w:r>
      <w:r w:rsidRPr="00467CCF">
        <w:rPr>
          <w:rFonts w:ascii="Times New Roman" w:eastAsia="Times New Roman" w:hAnsi="Times New Roman" w:cs="Times New Roman"/>
          <w:i/>
          <w:iCs/>
          <w:sz w:val="16"/>
          <w:szCs w:val="16"/>
          <w:lang w:eastAsia="fr-FR"/>
        </w:rPr>
        <w:t>Rédaction issue de Décret n° 85-864 du 2 août 1985 (</w:t>
      </w:r>
      <w:hyperlink r:id="rId39"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70DA0B44"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En ce qui concerne les risques définis à l'article L. 431-4 autres que de responsabilité civile, une assurance contre les risques ordinaires doit avoir été préalablement souscrite pour un montant au moins égal à celui pour lequel la garantie est demandée. La caisse centrale de réassurance peut déroger à cette obligation après consultation, sauf urgence, de la commission consultative des garanties.</w:t>
      </w:r>
    </w:p>
    <w:p w14:paraId="77EF360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431-29</w:t>
      </w:r>
      <w:r w:rsidRPr="00467CCF">
        <w:rPr>
          <w:rFonts w:ascii="Times New Roman" w:eastAsia="Times New Roman" w:hAnsi="Times New Roman" w:cs="Times New Roman"/>
          <w:i/>
          <w:iCs/>
          <w:sz w:val="16"/>
          <w:szCs w:val="16"/>
          <w:lang w:eastAsia="fr-FR"/>
        </w:rPr>
        <w:t>Rédaction issue de Décret n° 85-864 du 2 août 1985 (</w:t>
      </w:r>
      <w:hyperlink r:id="rId40"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2EF95E6D"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dispositions du présent paragraphe sont applicables dans les territoires de la Nouvelle-Calédonie, de la Polynésie française, des Terres australes et antarctiques françaises et de Wallis et Futuna.</w:t>
      </w:r>
    </w:p>
    <w:p w14:paraId="2FA83D03"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3 - Assurance et réassurance des risques exceptionnels et nucléaires (1)</w:t>
      </w:r>
    </w:p>
    <w:p w14:paraId="64396585"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431-33</w:t>
      </w:r>
    </w:p>
    <w:p w14:paraId="08F87975"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caisse centrale de réassurance peut accepter de couvrir avec la garantie de l'Etat, soit en assurance, soit en réassurance, les risques mentionnés à l'article L. 431-3.</w:t>
      </w:r>
    </w:p>
    <w:p w14:paraId="3F5844B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431-34</w:t>
      </w:r>
    </w:p>
    <w:p w14:paraId="384FDCD8"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lastRenderedPageBreak/>
        <w:t>La caisse centrale de réassurance, agissant avec la garantie de l'État, est chargée d'assurer les couvertures des risques à la charge des exploitants de navires et d'installations nucléaires pour lesquelles des interventions de l'Etat sont prévues par l'article 19 de la loi n° 65-956 du 12 novembre 1965 et par les articles 4 et 7 de la loi n° 68-943 du 30 octobre 1968, de même que les couvertures des risques prévus à l'article 12 de la même loi.</w:t>
      </w:r>
    </w:p>
    <w:p w14:paraId="6AD81A31"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431-35</w:t>
      </w:r>
    </w:p>
    <w:p w14:paraId="7F71ADD4"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contrats types prévus par l'article L. 431-12 sont approuvés par le ministre de l'économie et des finances.</w:t>
      </w:r>
    </w:p>
    <w:p w14:paraId="47268ABD"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431-36</w:t>
      </w:r>
    </w:p>
    <w:p w14:paraId="2CA53DB7"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opérations prévues aux articles R. 431-33 et R. 431-34 et réalisées avec la garantie de l'Etat portent sur les biens suivants ou les dommages résultant de leur utilisation :</w:t>
      </w:r>
      <w:r w:rsidRPr="00467CCF">
        <w:rPr>
          <w:rFonts w:ascii="Times New Roman" w:eastAsia="Times New Roman" w:hAnsi="Times New Roman" w:cs="Times New Roman"/>
          <w:sz w:val="18"/>
          <w:szCs w:val="18"/>
          <w:lang w:eastAsia="fr-FR"/>
        </w:rPr>
        <w:br/>
        <w:t>a) Navires et autres bâtiments de mer, bateaux de navigation intérieure, matériel flottant affecté à l'exploitation maritime ou fluviale ;</w:t>
      </w:r>
      <w:r w:rsidRPr="00467CCF">
        <w:rPr>
          <w:rFonts w:ascii="Times New Roman" w:eastAsia="Times New Roman" w:hAnsi="Times New Roman" w:cs="Times New Roman"/>
          <w:sz w:val="18"/>
          <w:szCs w:val="18"/>
          <w:lang w:eastAsia="fr-FR"/>
        </w:rPr>
        <w:br/>
        <w:t>b) Aéronefs ;</w:t>
      </w:r>
      <w:r w:rsidRPr="00467CCF">
        <w:rPr>
          <w:rFonts w:ascii="Times New Roman" w:eastAsia="Times New Roman" w:hAnsi="Times New Roman" w:cs="Times New Roman"/>
          <w:sz w:val="18"/>
          <w:szCs w:val="18"/>
          <w:lang w:eastAsia="fr-FR"/>
        </w:rPr>
        <w:br/>
        <w:t>c) Véhicules utilitaires affectés au transport terrestre des personnes ou des marchandises ;</w:t>
      </w:r>
      <w:r w:rsidRPr="00467CCF">
        <w:rPr>
          <w:rFonts w:ascii="Times New Roman" w:eastAsia="Times New Roman" w:hAnsi="Times New Roman" w:cs="Times New Roman"/>
          <w:sz w:val="18"/>
          <w:szCs w:val="18"/>
          <w:lang w:eastAsia="fr-FR"/>
        </w:rPr>
        <w:br/>
        <w:t>d) Biens transportés, quel que soit le moyen de transport, et biens stockés à l'occasion d'un transport ;</w:t>
      </w:r>
      <w:r w:rsidRPr="00467CCF">
        <w:rPr>
          <w:rFonts w:ascii="Times New Roman" w:eastAsia="Times New Roman" w:hAnsi="Times New Roman" w:cs="Times New Roman"/>
          <w:sz w:val="18"/>
          <w:szCs w:val="18"/>
          <w:lang w:eastAsia="fr-FR"/>
        </w:rPr>
        <w:br/>
        <w:t>e) Installations nucléaires et biens se trouvant sur le site de ces installations, ainsi que les substances nucléaires stockées, ou en cours de transport en provenance ou à destination desdites installations.</w:t>
      </w:r>
    </w:p>
    <w:p w14:paraId="5A3D7324"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431-37</w:t>
      </w:r>
    </w:p>
    <w:p w14:paraId="027707DF"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contrat ou le traité ne peut être conclu que si l'une au moins des deux conditions suivantes est remplie :</w:t>
      </w:r>
      <w:r w:rsidRPr="00467CCF">
        <w:rPr>
          <w:rFonts w:ascii="Times New Roman" w:eastAsia="Times New Roman" w:hAnsi="Times New Roman" w:cs="Times New Roman"/>
          <w:sz w:val="18"/>
          <w:szCs w:val="18"/>
          <w:lang w:eastAsia="fr-FR"/>
        </w:rPr>
        <w:br/>
        <w:t>a) Qu'il s'agisse d'un bien immatriculé en France ou francisé ou propriété française, ou que le souscripteur ou l'assuré soit de nationalité française ;</w:t>
      </w:r>
      <w:r w:rsidRPr="00467CCF">
        <w:rPr>
          <w:rFonts w:ascii="Times New Roman" w:eastAsia="Times New Roman" w:hAnsi="Times New Roman" w:cs="Times New Roman"/>
          <w:sz w:val="18"/>
          <w:szCs w:val="18"/>
          <w:lang w:eastAsia="fr-FR"/>
        </w:rPr>
        <w:br/>
        <w:t>b) Que les biens énumérés à l'article R. 431-36 soient garantis contre les risques autres que les risques exceptionnels auprès d'une entreprise d'assurance française, d'une filiale étrangère d'entreprise d'assurance française ou de l'établissement en France d'une entreprise d'assurance étrangère.</w:t>
      </w:r>
    </w:p>
    <w:p w14:paraId="2B7596AF"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431-38</w:t>
      </w:r>
    </w:p>
    <w:p w14:paraId="5922728B"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En ce qui concerne les risques définis à l'article L 431-3 autres que de responsabilité civile, une assurance contre les risques ordinaires doit avoir été préalablement souscrite pour un montant au moins égal à celui pour lequel la garantie est demandée. La caisse centrale de réassurance peut déroger à cette obligation après accord de la commission consultative des garanties prévue à l'article R. 431-43.</w:t>
      </w:r>
    </w:p>
    <w:p w14:paraId="19912D78"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431-39</w:t>
      </w:r>
    </w:p>
    <w:p w14:paraId="718A0871"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polices d'assurance et les traités de réassurance doivent être conformes à des polices ou traités types dont les clauses sont arrêtées par le ministre de l'économie et des finances, après avis de la commission consultative des garanties.</w:t>
      </w:r>
    </w:p>
    <w:p w14:paraId="5772CB90"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431-40</w:t>
      </w:r>
    </w:p>
    <w:p w14:paraId="69F83E88"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structure de tarifs est établie par la caisse centrale de réassurance, après avis de la commission consultative des garanties, de manière à lui permettre de faire face aux charges des opérations assumées en vertu de la présente section et soumise à approbation du ministre de l'économie et des finances.</w:t>
      </w:r>
    </w:p>
    <w:p w14:paraId="7383E4D5"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431-41</w:t>
      </w:r>
    </w:p>
    <w:p w14:paraId="25EEC221"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caisse centrale de réassurance peut décider de céder tout ou partie des risques exceptionnels et nucléaires qu'elle a souscrits ou acceptés.</w:t>
      </w:r>
    </w:p>
    <w:p w14:paraId="539A447A"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431-42</w:t>
      </w:r>
    </w:p>
    <w:p w14:paraId="6041EA04"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opérations d'assurance et de réassurance peuvent donner lieu, en faveur des intermédiaires et des cédants, à un versement de commission dans les conditions fixées par arrêté du ministre de l'économie et des finances.</w:t>
      </w:r>
    </w:p>
    <w:p w14:paraId="5BBB724B"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lastRenderedPageBreak/>
        <w:t>Art. R. 431-43</w:t>
      </w:r>
    </w:p>
    <w:p w14:paraId="411C9517"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Il est institué auprès de la caisse centrale de réassurance une commission consultative des garanties des risques exceptionnels et nucléaires, qui comprend :</w:t>
      </w:r>
      <w:r w:rsidRPr="00467CCF">
        <w:rPr>
          <w:rFonts w:ascii="Times New Roman" w:eastAsia="Times New Roman" w:hAnsi="Times New Roman" w:cs="Times New Roman"/>
          <w:sz w:val="18"/>
          <w:szCs w:val="18"/>
          <w:lang w:eastAsia="fr-FR"/>
        </w:rPr>
        <w:br/>
        <w:t>- un magistrat de la Cour des comptes désigné par le premier président de la Cour des comptes, président, suppléé en cas d'empêchement par un autre magistrat de la Cour des comptes, désigné dans les mêmes conditions ;</w:t>
      </w:r>
      <w:r w:rsidRPr="00467CCF">
        <w:rPr>
          <w:rFonts w:ascii="Times New Roman" w:eastAsia="Times New Roman" w:hAnsi="Times New Roman" w:cs="Times New Roman"/>
          <w:sz w:val="18"/>
          <w:szCs w:val="18"/>
          <w:lang w:eastAsia="fr-FR"/>
        </w:rPr>
        <w:br/>
        <w:t>- le directeur des assurances ou son représentant ;</w:t>
      </w:r>
      <w:r w:rsidRPr="00467CCF">
        <w:rPr>
          <w:rFonts w:ascii="Times New Roman" w:eastAsia="Times New Roman" w:hAnsi="Times New Roman" w:cs="Times New Roman"/>
          <w:sz w:val="18"/>
          <w:szCs w:val="18"/>
          <w:lang w:eastAsia="fr-FR"/>
        </w:rPr>
        <w:br/>
        <w:t>- le directeur du budget eu son représentant ;</w:t>
      </w:r>
      <w:r w:rsidRPr="00467CCF">
        <w:rPr>
          <w:rFonts w:ascii="Times New Roman" w:eastAsia="Times New Roman" w:hAnsi="Times New Roman" w:cs="Times New Roman"/>
          <w:sz w:val="18"/>
          <w:szCs w:val="18"/>
          <w:lang w:eastAsia="fr-FR"/>
        </w:rPr>
        <w:br/>
        <w:t>- le directeur du Trésor ou son représentant ;</w:t>
      </w:r>
      <w:r w:rsidRPr="00467CCF">
        <w:rPr>
          <w:rFonts w:ascii="Times New Roman" w:eastAsia="Times New Roman" w:hAnsi="Times New Roman" w:cs="Times New Roman"/>
          <w:sz w:val="18"/>
          <w:szCs w:val="18"/>
          <w:lang w:eastAsia="fr-FR"/>
        </w:rPr>
        <w:br/>
        <w:t>- un représentant de la fédération française des sociétés d'assurances.</w:t>
      </w:r>
      <w:r w:rsidRPr="00467CCF">
        <w:rPr>
          <w:rFonts w:ascii="Times New Roman" w:eastAsia="Times New Roman" w:hAnsi="Times New Roman" w:cs="Times New Roman"/>
          <w:sz w:val="18"/>
          <w:szCs w:val="18"/>
          <w:lang w:eastAsia="fr-FR"/>
        </w:rPr>
        <w:br/>
        <w:t>Pour les questions relatives aux assurances des risques de transport, la commission est complétée par :</w:t>
      </w:r>
      <w:r w:rsidRPr="00467CCF">
        <w:rPr>
          <w:rFonts w:ascii="Times New Roman" w:eastAsia="Times New Roman" w:hAnsi="Times New Roman" w:cs="Times New Roman"/>
          <w:sz w:val="18"/>
          <w:szCs w:val="18"/>
          <w:lang w:eastAsia="fr-FR"/>
        </w:rPr>
        <w:br/>
        <w:t>- un représentant du ministre chargé des transports ;</w:t>
      </w:r>
      <w:r w:rsidRPr="00467CCF">
        <w:rPr>
          <w:rFonts w:ascii="Times New Roman" w:eastAsia="Times New Roman" w:hAnsi="Times New Roman" w:cs="Times New Roman"/>
          <w:sz w:val="18"/>
          <w:szCs w:val="18"/>
          <w:lang w:eastAsia="fr-FR"/>
        </w:rPr>
        <w:br/>
        <w:t>- le directeur général des douanes et droits indirects ou son représentant ;</w:t>
      </w:r>
      <w:r w:rsidRPr="00467CCF">
        <w:rPr>
          <w:rFonts w:ascii="Times New Roman" w:eastAsia="Times New Roman" w:hAnsi="Times New Roman" w:cs="Times New Roman"/>
          <w:sz w:val="18"/>
          <w:szCs w:val="18"/>
          <w:lang w:eastAsia="fr-FR"/>
        </w:rPr>
        <w:br/>
        <w:t>- le directeur des relations économiques extérieures ou son représentant.</w:t>
      </w:r>
      <w:r w:rsidRPr="00467CCF">
        <w:rPr>
          <w:rFonts w:ascii="Times New Roman" w:eastAsia="Times New Roman" w:hAnsi="Times New Roman" w:cs="Times New Roman"/>
          <w:sz w:val="18"/>
          <w:szCs w:val="18"/>
          <w:lang w:eastAsia="fr-FR"/>
        </w:rPr>
        <w:br/>
        <w:t>Pour les questions relatives aux risques nucléaires, la commission est complétée par un représentant du ministre chargé de l'énergie nucléaire.</w:t>
      </w:r>
      <w:r w:rsidRPr="00467CCF">
        <w:rPr>
          <w:rFonts w:ascii="Times New Roman" w:eastAsia="Times New Roman" w:hAnsi="Times New Roman" w:cs="Times New Roman"/>
          <w:sz w:val="18"/>
          <w:szCs w:val="18"/>
          <w:lang w:eastAsia="fr-FR"/>
        </w:rPr>
        <w:br/>
        <w:t>Le président peut inviter à participer aux travaux de la commission toute personne dont il lui paraît utile de recueillir l'avis sur une question à l'ordre du jour.</w:t>
      </w:r>
      <w:r w:rsidRPr="00467CCF">
        <w:rPr>
          <w:rFonts w:ascii="Times New Roman" w:eastAsia="Times New Roman" w:hAnsi="Times New Roman" w:cs="Times New Roman"/>
          <w:sz w:val="18"/>
          <w:szCs w:val="18"/>
          <w:lang w:eastAsia="fr-FR"/>
        </w:rPr>
        <w:br/>
        <w:t>Le directeur général de la caisse centrale de réassurance, ou son représentant, est chargé de la présentation des dossiers soumis à la commission dont il assure le secrétariat.</w:t>
      </w:r>
      <w:r w:rsidRPr="00467CCF">
        <w:rPr>
          <w:rFonts w:ascii="Times New Roman" w:eastAsia="Times New Roman" w:hAnsi="Times New Roman" w:cs="Times New Roman"/>
          <w:sz w:val="18"/>
          <w:szCs w:val="18"/>
          <w:lang w:eastAsia="fr-FR"/>
        </w:rPr>
        <w:br/>
        <w:t>Les avis de la commission sont pris à la majorité des voix ; en cas de partage, la voix du président est prépondérante.</w:t>
      </w:r>
    </w:p>
    <w:p w14:paraId="00907823"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431-44</w:t>
      </w:r>
    </w:p>
    <w:p w14:paraId="415D95F4"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commission consultative des garanties est réunie par son président sur son initiative ou à la demande soit du ministre de l'économie et des finances, soit du directeur général de la caisse centrale de réassurance.</w:t>
      </w:r>
      <w:r w:rsidRPr="00467CCF">
        <w:rPr>
          <w:rFonts w:ascii="Times New Roman" w:eastAsia="Times New Roman" w:hAnsi="Times New Roman" w:cs="Times New Roman"/>
          <w:sz w:val="18"/>
          <w:szCs w:val="18"/>
          <w:lang w:eastAsia="fr-FR"/>
        </w:rPr>
        <w:br/>
        <w:t>Outre les questions dont elle connaît obligatoirement en vertu des articles R. 431-38, R. 431-39 et R. 431-40, la commission peut être consultée par le ministre de l'économie et des finances ou par le directeur général de la caisse centrale de réassurance sur toutes questions sur lesquelles ils estiment souhaitable de recueillir son avis.</w:t>
      </w:r>
      <w:r w:rsidRPr="00467CCF">
        <w:rPr>
          <w:rFonts w:ascii="Times New Roman" w:eastAsia="Times New Roman" w:hAnsi="Times New Roman" w:cs="Times New Roman"/>
          <w:sz w:val="18"/>
          <w:szCs w:val="18"/>
          <w:lang w:eastAsia="fr-FR"/>
        </w:rPr>
        <w:br/>
        <w:t>En cas d'urgence, le directeur général de la caisse centrale de réassurance peut prendre, sur les questions soumises à l'avis de la commission consultative, en application de l'article R. 431-38, une décision sans lui demander son avis préalable. Dans ce cas, il doit avoir l'accord du ministre et informer préalablement le président de la commission.</w:t>
      </w:r>
    </w:p>
    <w:p w14:paraId="3E4E972C"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431-45</w:t>
      </w:r>
    </w:p>
    <w:p w14:paraId="680A36A4"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opérations mentionnées aux articles R. 431-33 et R. 431-34 sont retracées, au sein de la comptabilité de la caisse centrale de réassurance, dans un compte distinct.</w:t>
      </w:r>
      <w:r w:rsidRPr="00467CCF">
        <w:rPr>
          <w:rFonts w:ascii="Times New Roman" w:eastAsia="Times New Roman" w:hAnsi="Times New Roman" w:cs="Times New Roman"/>
          <w:sz w:val="18"/>
          <w:szCs w:val="18"/>
          <w:lang w:eastAsia="fr-FR"/>
        </w:rPr>
        <w:br/>
        <w:t>Ce compte fait notamment apparaître les recettes de primes et de commissions et, le cas échéant, les versements effectués par l'Etat au titre de la mise en jeu de la garantie, ainsi que les produits correspondant au placement des fonds gérés par la caisse au titre des opérations mentionnées par la présente section. Il retrace, en dépenses, outre les versements opérés au titre desdites opérations, la part des frais de gestion, commissions, impôts, taxes et frais annexes de toute nature, qui leur sont imputables.</w:t>
      </w:r>
      <w:r w:rsidRPr="00467CCF">
        <w:rPr>
          <w:rFonts w:ascii="Times New Roman" w:eastAsia="Times New Roman" w:hAnsi="Times New Roman" w:cs="Times New Roman"/>
          <w:sz w:val="18"/>
          <w:szCs w:val="18"/>
          <w:lang w:eastAsia="fr-FR"/>
        </w:rPr>
        <w:br/>
        <w:t>Une convention passée entre le ministre de l'économie et des finances et la caisse centrale de réassurance fixe les relations financières entre l'Etat et la caisse centrale de réassurance pour les opérations mentionnées à la présente section et notamment les conditions de la mise en jeu de la garantie de l'Etat et les modalités de la rémunération de cette garantie, prélevée, le cas échéant, sur l'excédent du compte prévu à l'alinéa premier.</w:t>
      </w:r>
      <w:r w:rsidRPr="00467CCF">
        <w:rPr>
          <w:rFonts w:ascii="Times New Roman" w:eastAsia="Times New Roman" w:hAnsi="Times New Roman" w:cs="Times New Roman"/>
          <w:sz w:val="18"/>
          <w:szCs w:val="18"/>
          <w:lang w:eastAsia="fr-FR"/>
        </w:rPr>
        <w:br/>
        <w:t>Chaque année les excédents éventuels restant après rémunération de la garantie de l'Etat sont inscrits à un compte de provisions et réserves affectées à la couverture des opérations bénéficiant de cette garantie.</w:t>
      </w:r>
    </w:p>
    <w:p w14:paraId="6ADF329A"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431-46</w:t>
      </w:r>
    </w:p>
    <w:p w14:paraId="0FA535E9"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dispositions de la présente section sont applicables dans les territoires de la Nouvelle-Calédonie, de la Polynésie française, de Saint-Pierre et Miquelon, des Terres australes et antarctiques françaises et de Wallis et Futuna.</w:t>
      </w:r>
    </w:p>
    <w:p w14:paraId="5011D7C7" w14:textId="77777777" w:rsidR="00467CCF" w:rsidRPr="00467CCF" w:rsidRDefault="00467CCF" w:rsidP="00467CCF">
      <w:pPr>
        <w:spacing w:after="0" w:line="240" w:lineRule="auto"/>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III - La caisse nationale de prévoyance</w:t>
      </w:r>
      <w:r w:rsidRPr="00467CCF">
        <w:rPr>
          <w:rFonts w:ascii="Times New Roman" w:eastAsia="Times New Roman" w:hAnsi="Times New Roman" w:cs="Times New Roman"/>
          <w:b/>
          <w:bCs/>
          <w:caps/>
          <w:sz w:val="21"/>
          <w:szCs w:val="21"/>
          <w:lang w:eastAsia="fr-FR"/>
        </w:rPr>
        <w:br/>
      </w:r>
      <w:r w:rsidRPr="00467CCF">
        <w:rPr>
          <w:rFonts w:ascii="Times New Roman" w:eastAsia="Times New Roman" w:hAnsi="Times New Roman" w:cs="Times New Roman"/>
          <w:i/>
          <w:iCs/>
          <w:sz w:val="15"/>
          <w:szCs w:val="15"/>
          <w:lang w:eastAsia="fr-FR"/>
        </w:rPr>
        <w:t>Rédaction issue de Décret n° 84-349 du 9 mai 1984 (</w:t>
      </w:r>
      <w:hyperlink r:id="rId41"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578FC69B"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1 - Dispositions générales</w:t>
      </w:r>
      <w:r w:rsidRPr="00467CCF">
        <w:rPr>
          <w:rFonts w:ascii="Times New Roman" w:eastAsia="Times New Roman" w:hAnsi="Times New Roman" w:cs="Times New Roman"/>
          <w:b/>
          <w:bCs/>
          <w:caps/>
          <w:sz w:val="20"/>
          <w:szCs w:val="20"/>
          <w:lang w:eastAsia="fr-FR"/>
        </w:rPr>
        <w:br/>
      </w:r>
      <w:r w:rsidRPr="00467CCF">
        <w:rPr>
          <w:rFonts w:ascii="Times New Roman" w:eastAsia="Times New Roman" w:hAnsi="Times New Roman" w:cs="Times New Roman"/>
          <w:i/>
          <w:iCs/>
          <w:sz w:val="15"/>
          <w:szCs w:val="15"/>
          <w:lang w:eastAsia="fr-FR"/>
        </w:rPr>
        <w:t>Rédaction issue de Décret n° 84-349 du 9 mai 1984 (</w:t>
      </w:r>
      <w:hyperlink r:id="rId42"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41C315EE"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433-1</w:t>
      </w:r>
      <w:r w:rsidRPr="00467CCF">
        <w:rPr>
          <w:rFonts w:ascii="Times New Roman" w:eastAsia="Times New Roman" w:hAnsi="Times New Roman" w:cs="Times New Roman"/>
          <w:i/>
          <w:iCs/>
          <w:sz w:val="16"/>
          <w:szCs w:val="16"/>
          <w:lang w:eastAsia="fr-FR"/>
        </w:rPr>
        <w:t>Rédaction issue de Décret n° 84-349 du 9 mai 1984 (</w:t>
      </w:r>
      <w:hyperlink r:id="rId43"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742D1B55"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lastRenderedPageBreak/>
        <w:t>Sont applicables à la caisse nationale de prévoyance les dispositions suivantes de la deuxième partie "Réglementaire" du présent code :</w:t>
      </w:r>
      <w:r w:rsidRPr="00467CCF">
        <w:rPr>
          <w:rFonts w:ascii="Times New Roman" w:eastAsia="Times New Roman" w:hAnsi="Times New Roman" w:cs="Times New Roman"/>
          <w:sz w:val="18"/>
          <w:szCs w:val="18"/>
          <w:lang w:eastAsia="fr-FR"/>
        </w:rPr>
        <w:br/>
        <w:t>a) Titre Ier et III du livre Ier ;</w:t>
      </w:r>
      <w:r w:rsidRPr="00467CCF">
        <w:rPr>
          <w:rFonts w:ascii="Times New Roman" w:eastAsia="Times New Roman" w:hAnsi="Times New Roman" w:cs="Times New Roman"/>
          <w:sz w:val="18"/>
          <w:szCs w:val="18"/>
          <w:lang w:eastAsia="fr-FR"/>
        </w:rPr>
        <w:br/>
        <w:t>b) Titre IV du livre Ier, à l'exception de l'article R. 140-6 ; c) Sections I, II et III du titre VI du livre Ier ;</w:t>
      </w:r>
      <w:r w:rsidRPr="00467CCF">
        <w:rPr>
          <w:rFonts w:ascii="Times New Roman" w:eastAsia="Times New Roman" w:hAnsi="Times New Roman" w:cs="Times New Roman"/>
          <w:sz w:val="18"/>
          <w:szCs w:val="18"/>
          <w:lang w:eastAsia="fr-FR"/>
        </w:rPr>
        <w:br/>
        <w:t>d) Articles R. 310-1 à R. 310-2 ;</w:t>
      </w:r>
      <w:r w:rsidRPr="00467CCF">
        <w:rPr>
          <w:rFonts w:ascii="Times New Roman" w:eastAsia="Times New Roman" w:hAnsi="Times New Roman" w:cs="Times New Roman"/>
          <w:sz w:val="18"/>
          <w:szCs w:val="18"/>
          <w:lang w:eastAsia="fr-FR"/>
        </w:rPr>
        <w:br/>
        <w:t>e) Titre III du livre III, à l'exception du chapitre V, ainsi que de l'article R. 331-7 ;</w:t>
      </w:r>
      <w:r w:rsidRPr="00467CCF">
        <w:rPr>
          <w:rFonts w:ascii="Times New Roman" w:eastAsia="Times New Roman" w:hAnsi="Times New Roman" w:cs="Times New Roman"/>
          <w:sz w:val="18"/>
          <w:szCs w:val="18"/>
          <w:lang w:eastAsia="fr-FR"/>
        </w:rPr>
        <w:br/>
        <w:t>f) Titre IV du livre III ;</w:t>
      </w:r>
      <w:r w:rsidRPr="00467CCF">
        <w:rPr>
          <w:rFonts w:ascii="Times New Roman" w:eastAsia="Times New Roman" w:hAnsi="Times New Roman" w:cs="Times New Roman"/>
          <w:sz w:val="18"/>
          <w:szCs w:val="18"/>
          <w:lang w:eastAsia="fr-FR"/>
        </w:rPr>
        <w:br/>
        <w:t>Toutefois, les pouvoirs du ministre de l'économie et des finances et du conseil national des assurances sont exercés par la commission supérieure de la caisse nationale de prévoyance pour l'application des dispositions du titre III du livre III.</w:t>
      </w:r>
    </w:p>
    <w:p w14:paraId="017E7DD9"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2 - La commission supérieure</w:t>
      </w:r>
      <w:r w:rsidRPr="00467CCF">
        <w:rPr>
          <w:rFonts w:ascii="Times New Roman" w:eastAsia="Times New Roman" w:hAnsi="Times New Roman" w:cs="Times New Roman"/>
          <w:b/>
          <w:bCs/>
          <w:caps/>
          <w:sz w:val="20"/>
          <w:szCs w:val="20"/>
          <w:lang w:eastAsia="fr-FR"/>
        </w:rPr>
        <w:br/>
      </w:r>
      <w:r w:rsidRPr="00467CCF">
        <w:rPr>
          <w:rFonts w:ascii="Times New Roman" w:eastAsia="Times New Roman" w:hAnsi="Times New Roman" w:cs="Times New Roman"/>
          <w:i/>
          <w:iCs/>
          <w:sz w:val="15"/>
          <w:szCs w:val="15"/>
          <w:lang w:eastAsia="fr-FR"/>
        </w:rPr>
        <w:t>Rédaction issue de Décret n° 84-349 du 9 mai 1984 (</w:t>
      </w:r>
      <w:hyperlink r:id="rId44"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6CAEABF2"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433-3</w:t>
      </w:r>
      <w:r w:rsidRPr="00467CCF">
        <w:rPr>
          <w:rFonts w:ascii="Times New Roman" w:eastAsia="Times New Roman" w:hAnsi="Times New Roman" w:cs="Times New Roman"/>
          <w:i/>
          <w:iCs/>
          <w:sz w:val="16"/>
          <w:szCs w:val="16"/>
          <w:lang w:eastAsia="fr-FR"/>
        </w:rPr>
        <w:t>Rédaction issue de Décret n° 84-349 du 9 mai 1984 (</w:t>
      </w:r>
      <w:hyperlink r:id="rId45"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04075303"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 commission supérieure de la caisse nationale de prévoyance fixe :</w:t>
      </w:r>
      <w:r w:rsidRPr="00467CCF">
        <w:rPr>
          <w:rFonts w:ascii="Times New Roman" w:eastAsia="Times New Roman" w:hAnsi="Times New Roman" w:cs="Times New Roman"/>
          <w:sz w:val="18"/>
          <w:szCs w:val="18"/>
          <w:lang w:eastAsia="fr-FR"/>
        </w:rPr>
        <w:br/>
        <w:t>1° Les taux de chargement des primes afférentes aux diverses catégories d'assurances pratiquées par la caisse nationale de prévoyance ;</w:t>
      </w:r>
      <w:r w:rsidRPr="00467CCF">
        <w:rPr>
          <w:rFonts w:ascii="Times New Roman" w:eastAsia="Times New Roman" w:hAnsi="Times New Roman" w:cs="Times New Roman"/>
          <w:sz w:val="18"/>
          <w:szCs w:val="18"/>
          <w:lang w:eastAsia="fr-FR"/>
        </w:rPr>
        <w:br/>
        <w:t>2° Pour chaque catégorie de contrats d'assurances en cas de décès, le montant maximal de capitaux que la caisse nationale est autorisée à garantir sur une même tête, ainsi que le montant maximal des garanties qui peuvent être consenties sans contrôle médical ;</w:t>
      </w:r>
      <w:r w:rsidRPr="00467CCF">
        <w:rPr>
          <w:rFonts w:ascii="Times New Roman" w:eastAsia="Times New Roman" w:hAnsi="Times New Roman" w:cs="Times New Roman"/>
          <w:sz w:val="18"/>
          <w:szCs w:val="18"/>
          <w:lang w:eastAsia="fr-FR"/>
        </w:rPr>
        <w:br/>
        <w:t>3° Le montant minimal de garanties assurables par la caisse nationale, le montant minimal de versement susceptible d'être accepté par ladite caisse, ainsi que le montant minimal de rentes inscriptible au grand-livre de l'établissement ;</w:t>
      </w:r>
      <w:r w:rsidRPr="00467CCF">
        <w:rPr>
          <w:rFonts w:ascii="Times New Roman" w:eastAsia="Times New Roman" w:hAnsi="Times New Roman" w:cs="Times New Roman"/>
          <w:sz w:val="18"/>
          <w:szCs w:val="18"/>
          <w:lang w:eastAsia="fr-FR"/>
        </w:rPr>
        <w:br/>
        <w:t>4° Les modalités de substitution d'échéances annuelles ou semestrielles aux échéances trimestrielles des rentes ;</w:t>
      </w:r>
      <w:r w:rsidRPr="00467CCF">
        <w:rPr>
          <w:rFonts w:ascii="Times New Roman" w:eastAsia="Times New Roman" w:hAnsi="Times New Roman" w:cs="Times New Roman"/>
          <w:sz w:val="18"/>
          <w:szCs w:val="18"/>
          <w:lang w:eastAsia="fr-FR"/>
        </w:rPr>
        <w:br/>
        <w:t>5° Le barème de rachat des rentes inférieures au montant minimal inscriptible au grand-livre de la caisse nationale de prévoyance ;</w:t>
      </w:r>
      <w:r w:rsidRPr="00467CCF">
        <w:rPr>
          <w:rFonts w:ascii="Times New Roman" w:eastAsia="Times New Roman" w:hAnsi="Times New Roman" w:cs="Times New Roman"/>
          <w:sz w:val="18"/>
          <w:szCs w:val="18"/>
          <w:lang w:eastAsia="fr-FR"/>
        </w:rPr>
        <w:br/>
        <w:t>6° Les conditions de rachat des contrats.</w:t>
      </w:r>
      <w:r w:rsidRPr="00467CCF">
        <w:rPr>
          <w:rFonts w:ascii="Times New Roman" w:eastAsia="Times New Roman" w:hAnsi="Times New Roman" w:cs="Times New Roman"/>
          <w:sz w:val="18"/>
          <w:szCs w:val="18"/>
          <w:lang w:eastAsia="fr-FR"/>
        </w:rPr>
        <w:br/>
        <w:t>7° Les conditions de garantie de l'invalidité ;</w:t>
      </w:r>
      <w:r w:rsidRPr="00467CCF">
        <w:rPr>
          <w:rFonts w:ascii="Times New Roman" w:eastAsia="Times New Roman" w:hAnsi="Times New Roman" w:cs="Times New Roman"/>
          <w:sz w:val="18"/>
          <w:szCs w:val="18"/>
          <w:lang w:eastAsia="fr-FR"/>
        </w:rPr>
        <w:br/>
        <w:t>8° Les règles de la publicité à effectuer pour répandre et développer l'institution.</w:t>
      </w:r>
      <w:r w:rsidRPr="00467CCF">
        <w:rPr>
          <w:rFonts w:ascii="Times New Roman" w:eastAsia="Times New Roman" w:hAnsi="Times New Roman" w:cs="Times New Roman"/>
          <w:sz w:val="18"/>
          <w:szCs w:val="18"/>
          <w:lang w:eastAsia="fr-FR"/>
        </w:rPr>
        <w:br/>
        <w:t>La commission supérieure donne son avis sur les conditions générales des contrats présentés par la caisse nationale.</w:t>
      </w:r>
      <w:r w:rsidRPr="00467CCF">
        <w:rPr>
          <w:rFonts w:ascii="Times New Roman" w:eastAsia="Times New Roman" w:hAnsi="Times New Roman" w:cs="Times New Roman"/>
          <w:sz w:val="18"/>
          <w:szCs w:val="18"/>
          <w:lang w:eastAsia="fr-FR"/>
        </w:rPr>
        <w:br/>
        <w:t>Elle statue sur les demandes de bonifications de rentes liquidées par anticipation en cas de blessures graves ou d'infirmités prématurées régulièrement constatées et entraînant incapacité absolue de travail.</w:t>
      </w:r>
      <w:r w:rsidRPr="00467CCF">
        <w:rPr>
          <w:rFonts w:ascii="Times New Roman" w:eastAsia="Times New Roman" w:hAnsi="Times New Roman" w:cs="Times New Roman"/>
          <w:sz w:val="18"/>
          <w:szCs w:val="18"/>
          <w:lang w:eastAsia="fr-FR"/>
        </w:rPr>
        <w:br/>
        <w:t>Elle présente chaque année au Président de la République un rapport sur la situation morale et matérielle de la caisse. Ce rapport est distribué à l'Assemblée nationale et au Sénat.</w:t>
      </w:r>
    </w:p>
    <w:p w14:paraId="28084EEB"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t>Section 4 - Dispositions particulières</w:t>
      </w:r>
      <w:r w:rsidRPr="00467CCF">
        <w:rPr>
          <w:rFonts w:ascii="Times New Roman" w:eastAsia="Times New Roman" w:hAnsi="Times New Roman" w:cs="Times New Roman"/>
          <w:b/>
          <w:bCs/>
          <w:caps/>
          <w:sz w:val="20"/>
          <w:szCs w:val="20"/>
          <w:lang w:eastAsia="fr-FR"/>
        </w:rPr>
        <w:br/>
      </w:r>
      <w:r w:rsidRPr="00467CCF">
        <w:rPr>
          <w:rFonts w:ascii="Times New Roman" w:eastAsia="Times New Roman" w:hAnsi="Times New Roman" w:cs="Times New Roman"/>
          <w:i/>
          <w:iCs/>
          <w:sz w:val="15"/>
          <w:szCs w:val="15"/>
          <w:lang w:eastAsia="fr-FR"/>
        </w:rPr>
        <w:t>Rédaction issue de Décret n° 84-349 du 9 mai 1984 (</w:t>
      </w:r>
      <w:hyperlink r:id="rId46"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61C84305"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433-15</w:t>
      </w:r>
      <w:r w:rsidRPr="00467CCF">
        <w:rPr>
          <w:rFonts w:ascii="Times New Roman" w:eastAsia="Times New Roman" w:hAnsi="Times New Roman" w:cs="Times New Roman"/>
          <w:i/>
          <w:iCs/>
          <w:sz w:val="16"/>
          <w:szCs w:val="16"/>
          <w:lang w:eastAsia="fr-FR"/>
        </w:rPr>
        <w:t>Rédaction issue de Décret n° 84-349 du 9 mai 1984 (</w:t>
      </w:r>
      <w:hyperlink r:id="rId47"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5ABFF2C1"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Les écritures comptables de la caisse nationale de prévoyance doivent faire apparaître respectivement les sources des résultats, d'une part, pour les activités mentionnées aux 1°, 2°, 3° et 4° de l'article L. 310-1, d'autre part, pour les activités mentionnées au 5° dudit article. A cet effet, l'ensemble des recettes, notamment les primes, les commissions et revenus provenant des opérations de cession en réassurance, les produits financiers et l'ensemble des dépenses, notamment les prestations et frais payés, les dotations aux provisions techniques, les primes cédées en réassurance, les dépenses de fonctionnement liées aux opérations d'assurance, doivent être ventilées en fonction de leur origine. La caisse nationale de prévoyance doit établir, sur la base des écritures comptables mentionnées ci-dessus, un document faisant apparaître d'une manière distincte les éléments correspondant respectivement à chacune des marges de solvabilité à constituer, en application des dispositions des articles R. 334-3 et R. 334-11.</w:t>
      </w:r>
    </w:p>
    <w:p w14:paraId="10D0AB16"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433-16</w:t>
      </w:r>
      <w:r w:rsidRPr="00467CCF">
        <w:rPr>
          <w:rFonts w:ascii="Times New Roman" w:eastAsia="Times New Roman" w:hAnsi="Times New Roman" w:cs="Times New Roman"/>
          <w:i/>
          <w:iCs/>
          <w:sz w:val="16"/>
          <w:szCs w:val="16"/>
          <w:lang w:eastAsia="fr-FR"/>
        </w:rPr>
        <w:t>Rédaction issue de Décret n° 84-349 du 9 mai 1984 (</w:t>
      </w:r>
      <w:hyperlink r:id="rId48"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30401DB8"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fonds de garantie mentionné aux articles R. 334-7 et R. 334-15 ne peut pas être respectivement inférieur, en ce qui concerne la caisse nationale de prévoyance, à 300 000 et à 800 000 unités de compte de la Communauté économique européenne.</w:t>
      </w:r>
    </w:p>
    <w:p w14:paraId="26C0F490" w14:textId="77777777" w:rsidR="00467CCF" w:rsidRPr="00467CCF" w:rsidRDefault="00467CCF" w:rsidP="00467CCF">
      <w:pPr>
        <w:spacing w:after="0" w:line="240" w:lineRule="auto"/>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Titre IV - Régimes particuliers d'assurance</w:t>
      </w:r>
      <w:r w:rsidRPr="00467CCF">
        <w:rPr>
          <w:rFonts w:ascii="Times New Roman" w:eastAsia="Times New Roman" w:hAnsi="Times New Roman" w:cs="Times New Roman"/>
          <w:b/>
          <w:bCs/>
          <w:caps/>
          <w:sz w:val="21"/>
          <w:szCs w:val="21"/>
          <w:lang w:eastAsia="fr-FR"/>
        </w:rPr>
        <w:br/>
      </w:r>
      <w:r w:rsidRPr="00467CCF">
        <w:rPr>
          <w:rFonts w:ascii="Times New Roman" w:eastAsia="Times New Roman" w:hAnsi="Times New Roman" w:cs="Times New Roman"/>
          <w:i/>
          <w:iCs/>
          <w:sz w:val="15"/>
          <w:szCs w:val="15"/>
          <w:lang w:eastAsia="fr-FR"/>
        </w:rPr>
        <w:t>Rédaction issue de Décret n° 84-349 du 9 mai 1984 (</w:t>
      </w:r>
      <w:hyperlink r:id="rId49"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5372EE2F" w14:textId="77777777" w:rsidR="00467CCF" w:rsidRPr="00467CCF" w:rsidRDefault="00467CCF" w:rsidP="00467CCF">
      <w:pPr>
        <w:spacing w:after="0" w:line="240" w:lineRule="auto"/>
        <w:rPr>
          <w:rFonts w:ascii="Times New Roman" w:eastAsia="Times New Roman" w:hAnsi="Times New Roman" w:cs="Times New Roman"/>
          <w:b/>
          <w:bCs/>
          <w:caps/>
          <w:sz w:val="21"/>
          <w:szCs w:val="21"/>
          <w:lang w:eastAsia="fr-FR"/>
        </w:rPr>
      </w:pPr>
      <w:r w:rsidRPr="00467CCF">
        <w:rPr>
          <w:rFonts w:ascii="Times New Roman" w:eastAsia="Times New Roman" w:hAnsi="Times New Roman" w:cs="Times New Roman"/>
          <w:b/>
          <w:bCs/>
          <w:caps/>
          <w:sz w:val="21"/>
          <w:szCs w:val="21"/>
          <w:lang w:eastAsia="fr-FR"/>
        </w:rPr>
        <w:t>Chapitre Ier - Dispositions relatives à certaines opérations de prévoyance collective et d'assurance</w:t>
      </w:r>
      <w:r w:rsidRPr="00467CCF">
        <w:rPr>
          <w:rFonts w:ascii="Times New Roman" w:eastAsia="Times New Roman" w:hAnsi="Times New Roman" w:cs="Times New Roman"/>
          <w:b/>
          <w:bCs/>
          <w:caps/>
          <w:sz w:val="21"/>
          <w:szCs w:val="21"/>
          <w:lang w:eastAsia="fr-FR"/>
        </w:rPr>
        <w:br/>
      </w:r>
      <w:r w:rsidRPr="00467CCF">
        <w:rPr>
          <w:rFonts w:ascii="Times New Roman" w:eastAsia="Times New Roman" w:hAnsi="Times New Roman" w:cs="Times New Roman"/>
          <w:i/>
          <w:iCs/>
          <w:sz w:val="15"/>
          <w:szCs w:val="15"/>
          <w:lang w:eastAsia="fr-FR"/>
        </w:rPr>
        <w:t>Rédaction issue de Décret n° 84-349 du 9 mai 1984 (</w:t>
      </w:r>
      <w:hyperlink r:id="rId50"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7B2871EA" w14:textId="77777777" w:rsidR="00467CCF" w:rsidRPr="00467CCF" w:rsidRDefault="00467CCF" w:rsidP="00467CCF">
      <w:pPr>
        <w:spacing w:after="0" w:line="240" w:lineRule="auto"/>
        <w:rPr>
          <w:rFonts w:ascii="Times New Roman" w:eastAsia="Times New Roman" w:hAnsi="Times New Roman" w:cs="Times New Roman"/>
          <w:b/>
          <w:bCs/>
          <w:caps/>
          <w:sz w:val="20"/>
          <w:szCs w:val="20"/>
          <w:lang w:eastAsia="fr-FR"/>
        </w:rPr>
      </w:pPr>
      <w:r w:rsidRPr="00467CCF">
        <w:rPr>
          <w:rFonts w:ascii="Times New Roman" w:eastAsia="Times New Roman" w:hAnsi="Times New Roman" w:cs="Times New Roman"/>
          <w:b/>
          <w:bCs/>
          <w:caps/>
          <w:sz w:val="20"/>
          <w:szCs w:val="20"/>
          <w:lang w:eastAsia="fr-FR"/>
        </w:rPr>
        <w:lastRenderedPageBreak/>
        <w:t>Section 3 - Règles relatives au retrait de l'agrément</w:t>
      </w:r>
      <w:r w:rsidRPr="00467CCF">
        <w:rPr>
          <w:rFonts w:ascii="Times New Roman" w:eastAsia="Times New Roman" w:hAnsi="Times New Roman" w:cs="Times New Roman"/>
          <w:b/>
          <w:bCs/>
          <w:caps/>
          <w:sz w:val="20"/>
          <w:szCs w:val="20"/>
          <w:lang w:eastAsia="fr-FR"/>
        </w:rPr>
        <w:br/>
      </w:r>
      <w:r w:rsidRPr="00467CCF">
        <w:rPr>
          <w:rFonts w:ascii="Times New Roman" w:eastAsia="Times New Roman" w:hAnsi="Times New Roman" w:cs="Times New Roman"/>
          <w:i/>
          <w:iCs/>
          <w:sz w:val="15"/>
          <w:szCs w:val="15"/>
          <w:lang w:eastAsia="fr-FR"/>
        </w:rPr>
        <w:t>Rédaction issue de Décret n° 84-349 du 9 mai 1984 (</w:t>
      </w:r>
      <w:hyperlink r:id="rId51" w:history="1">
        <w:r w:rsidRPr="00467CCF">
          <w:rPr>
            <w:rFonts w:ascii="Times New Roman" w:eastAsia="Times New Roman" w:hAnsi="Times New Roman" w:cs="Times New Roman"/>
            <w:i/>
            <w:iCs/>
            <w:color w:val="0000FF"/>
            <w:sz w:val="15"/>
            <w:szCs w:val="15"/>
            <w:u w:val="single"/>
            <w:lang w:eastAsia="fr-FR"/>
          </w:rPr>
          <w:t>voir tout</w:t>
        </w:r>
      </w:hyperlink>
      <w:r w:rsidRPr="00467CCF">
        <w:rPr>
          <w:rFonts w:ascii="Times New Roman" w:eastAsia="Times New Roman" w:hAnsi="Times New Roman" w:cs="Times New Roman"/>
          <w:i/>
          <w:iCs/>
          <w:sz w:val="15"/>
          <w:szCs w:val="15"/>
          <w:lang w:eastAsia="fr-FR"/>
        </w:rPr>
        <w:t>)</w:t>
      </w:r>
    </w:p>
    <w:p w14:paraId="59A70CFA"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441-26</w:t>
      </w:r>
      <w:r w:rsidRPr="00467CCF">
        <w:rPr>
          <w:rFonts w:ascii="Times New Roman" w:eastAsia="Times New Roman" w:hAnsi="Times New Roman" w:cs="Times New Roman"/>
          <w:i/>
          <w:iCs/>
          <w:sz w:val="16"/>
          <w:szCs w:val="16"/>
          <w:lang w:eastAsia="fr-FR"/>
        </w:rPr>
        <w:t>Rédaction issue de Décret n° 84-349 du 9 mai 1984 (</w:t>
      </w:r>
      <w:hyperlink r:id="rId52"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78A9AD1B"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L'agrément prévu à la branche 26 de l'article R. 321-1 est retiré par arrêté du ministre de l'économie et des finances, publié au Journal officiel de la République française.</w:t>
      </w:r>
      <w:r w:rsidRPr="00467CCF">
        <w:rPr>
          <w:rFonts w:ascii="Times New Roman" w:eastAsia="Times New Roman" w:hAnsi="Times New Roman" w:cs="Times New Roman"/>
          <w:sz w:val="18"/>
          <w:szCs w:val="18"/>
          <w:lang w:eastAsia="fr-FR"/>
        </w:rPr>
        <w:br/>
        <w:t>Le retrait de l'agrément peut être prononcé en cas d'infraction aux règles fixées par le présent chapitre, notamment lorsque, pour une convention, le rapport de la provision technique spéciale à la provision mathématique théorique est inférieur à 0,5, ou lorsque le quotient de la valeur de service par la valeur d'acquisition de l'unité de rente est supérieur ou inférieur aux limites fixées à l'article R. 441-20 ou, dans les conditions prévues à l'article R. 441-28, lorsque le nombre de participants est inférieur à l'effectif prévu à l'article R. 441-15.</w:t>
      </w:r>
      <w:r w:rsidRPr="00467CCF">
        <w:rPr>
          <w:rFonts w:ascii="Times New Roman" w:eastAsia="Times New Roman" w:hAnsi="Times New Roman" w:cs="Times New Roman"/>
          <w:sz w:val="18"/>
          <w:szCs w:val="18"/>
          <w:lang w:eastAsia="fr-FR"/>
        </w:rPr>
        <w:br/>
        <w:t>Il peut également être prononcé lorsque les provisions techniques spéciales ne sont pas représentées régulièrement ou lorsque la trésorerie est insuffisante.</w:t>
      </w:r>
      <w:r w:rsidRPr="00467CCF">
        <w:rPr>
          <w:rFonts w:ascii="Times New Roman" w:eastAsia="Times New Roman" w:hAnsi="Times New Roman" w:cs="Times New Roman"/>
          <w:sz w:val="18"/>
          <w:szCs w:val="18"/>
          <w:lang w:eastAsia="fr-FR"/>
        </w:rPr>
        <w:br/>
        <w:t>Lorsque l'infraction ne porte que sur les opérations afférentes à une convention déterminée, le retrait de l'agrément peut être limité à cette seule convention.</w:t>
      </w:r>
      <w:r w:rsidRPr="00467CCF">
        <w:rPr>
          <w:rFonts w:ascii="Times New Roman" w:eastAsia="Times New Roman" w:hAnsi="Times New Roman" w:cs="Times New Roman"/>
          <w:sz w:val="18"/>
          <w:szCs w:val="18"/>
          <w:lang w:eastAsia="fr-FR"/>
        </w:rPr>
        <w:br/>
        <w:t>Le retrait de l'agrément peut être prononcé même si la ou les infractions constatées proviennent, non de l'entreprise d'assurance, mais d'un ou de plusieurs organismes qui ont contracté avec elle.</w:t>
      </w:r>
      <w:r w:rsidRPr="00467CCF">
        <w:rPr>
          <w:rFonts w:ascii="Times New Roman" w:eastAsia="Times New Roman" w:hAnsi="Times New Roman" w:cs="Times New Roman"/>
          <w:sz w:val="18"/>
          <w:szCs w:val="18"/>
          <w:lang w:eastAsia="fr-FR"/>
        </w:rPr>
        <w:br/>
        <w:t>Lorsque, pour les opérations pratiquées en consortium, la ou les infractions constatées concernent l'application d'une convention dont les opérations relèvent du consortium, le retrait de l'agrément peut être prononcé à l'encontre de toutes les entreprises d'assurance participant au consortium. Il est alors procédé à la liquidation de celui-ci sur décision du ministre de l'économie et des finances.</w:t>
      </w:r>
    </w:p>
    <w:p w14:paraId="2062E04B"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441-27</w:t>
      </w:r>
      <w:r w:rsidRPr="00467CCF">
        <w:rPr>
          <w:rFonts w:ascii="Times New Roman" w:eastAsia="Times New Roman" w:hAnsi="Times New Roman" w:cs="Times New Roman"/>
          <w:i/>
          <w:iCs/>
          <w:sz w:val="16"/>
          <w:szCs w:val="16"/>
          <w:lang w:eastAsia="fr-FR"/>
        </w:rPr>
        <w:t>Rédaction issue de Décret n° 84-349 du 9 mai 1984 (</w:t>
      </w:r>
      <w:hyperlink r:id="rId53"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0C435DEA"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Le retrait de l'agrément entraîne, dans un délai fixé pour chaque cas par le ministre de l'économie et des finances, la transformation des opérations faisant l'objet du retrait de l'agrément particulier en opérations d'assurance couvertes, intégralement et à tout moment, par des provisions mathématiques. La part des provisions revenant à chaque adhérent dans la liquidation des opérations considérées détermine la prestation que comporte l'opération d'assurance de substitution.</w:t>
      </w:r>
    </w:p>
    <w:p w14:paraId="0F76841F"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441-28</w:t>
      </w:r>
      <w:r w:rsidRPr="00467CCF">
        <w:rPr>
          <w:rFonts w:ascii="Times New Roman" w:eastAsia="Times New Roman" w:hAnsi="Times New Roman" w:cs="Times New Roman"/>
          <w:i/>
          <w:iCs/>
          <w:sz w:val="16"/>
          <w:szCs w:val="16"/>
          <w:lang w:eastAsia="fr-FR"/>
        </w:rPr>
        <w:t>Rédaction issue de Décret n° 84-349 du 9 mai 1984 (</w:t>
      </w:r>
      <w:hyperlink r:id="rId54"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50B74FE2" w14:textId="77777777" w:rsidR="00467CCF" w:rsidRPr="00467CCF" w:rsidRDefault="00467CCF" w:rsidP="00467CCF">
      <w:pPr>
        <w:spacing w:before="100" w:beforeAutospacing="1" w:after="100" w:afterAutospacing="1" w:line="225" w:lineRule="atLeast"/>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Lorsque le nombre de participants à une convention, après expiration du délai prévu à l'article R. 441-15, est ou devient inférieur à l'effectif prévu audit article, le retrait de l'agrément est prononcé, soit immédiatement, soit après l'expiration d'un nouveau délai fixé par le ministre de l'économie et des finances.</w:t>
      </w:r>
    </w:p>
    <w:p w14:paraId="23807AE7" w14:textId="77777777" w:rsidR="00467CCF" w:rsidRPr="00467CCF" w:rsidRDefault="00467CCF" w:rsidP="00467CCF">
      <w:pPr>
        <w:spacing w:after="0" w:line="240" w:lineRule="auto"/>
        <w:rPr>
          <w:rFonts w:ascii="Times New Roman" w:eastAsia="Times New Roman" w:hAnsi="Times New Roman" w:cs="Times New Roman"/>
          <w:b/>
          <w:bCs/>
          <w:sz w:val="18"/>
          <w:szCs w:val="18"/>
          <w:lang w:eastAsia="fr-FR"/>
        </w:rPr>
      </w:pPr>
      <w:r w:rsidRPr="00467CCF">
        <w:rPr>
          <w:rFonts w:ascii="Times New Roman" w:eastAsia="Times New Roman" w:hAnsi="Times New Roman" w:cs="Times New Roman"/>
          <w:b/>
          <w:bCs/>
          <w:sz w:val="18"/>
          <w:szCs w:val="18"/>
          <w:lang w:eastAsia="fr-FR"/>
        </w:rPr>
        <w:t>Art. R. 441-29</w:t>
      </w:r>
      <w:r w:rsidRPr="00467CCF">
        <w:rPr>
          <w:rFonts w:ascii="Times New Roman" w:eastAsia="Times New Roman" w:hAnsi="Times New Roman" w:cs="Times New Roman"/>
          <w:i/>
          <w:iCs/>
          <w:sz w:val="16"/>
          <w:szCs w:val="16"/>
          <w:lang w:eastAsia="fr-FR"/>
        </w:rPr>
        <w:t>Rédaction issue de Décret n° 84-349 du 9 mai 1984 (</w:t>
      </w:r>
      <w:hyperlink r:id="rId55" w:history="1">
        <w:r w:rsidRPr="00467CCF">
          <w:rPr>
            <w:rFonts w:ascii="Times New Roman" w:eastAsia="Times New Roman" w:hAnsi="Times New Roman" w:cs="Times New Roman"/>
            <w:i/>
            <w:iCs/>
            <w:color w:val="0000FF"/>
            <w:sz w:val="16"/>
            <w:szCs w:val="16"/>
            <w:u w:val="single"/>
            <w:lang w:eastAsia="fr-FR"/>
          </w:rPr>
          <w:t>voir tout</w:t>
        </w:r>
      </w:hyperlink>
      <w:r w:rsidRPr="00467CCF">
        <w:rPr>
          <w:rFonts w:ascii="Times New Roman" w:eastAsia="Times New Roman" w:hAnsi="Times New Roman" w:cs="Times New Roman"/>
          <w:i/>
          <w:iCs/>
          <w:sz w:val="16"/>
          <w:szCs w:val="16"/>
          <w:lang w:eastAsia="fr-FR"/>
        </w:rPr>
        <w:t>)</w:t>
      </w:r>
    </w:p>
    <w:p w14:paraId="3F2E80A8" w14:textId="0F271ACE" w:rsidR="00467CCF" w:rsidRDefault="00467CCF" w:rsidP="00467CCF">
      <w:pPr>
        <w:rPr>
          <w:rFonts w:ascii="Times New Roman" w:eastAsia="Times New Roman" w:hAnsi="Times New Roman" w:cs="Times New Roman"/>
          <w:sz w:val="18"/>
          <w:szCs w:val="18"/>
          <w:lang w:eastAsia="fr-FR"/>
        </w:rPr>
      </w:pPr>
      <w:r w:rsidRPr="00467CCF">
        <w:rPr>
          <w:rFonts w:ascii="Times New Roman" w:eastAsia="Times New Roman" w:hAnsi="Times New Roman" w:cs="Times New Roman"/>
          <w:sz w:val="18"/>
          <w:szCs w:val="18"/>
          <w:lang w:eastAsia="fr-FR"/>
        </w:rPr>
        <w:t>En cas de retrait de l'agrément, l'actif est réparti entre les bénéficiaires de la convention considérée, dans la limite du total des provisions constituées pour chacune des conventions.</w:t>
      </w:r>
      <w:r w:rsidRPr="00467CCF">
        <w:rPr>
          <w:rFonts w:ascii="Times New Roman" w:eastAsia="Times New Roman" w:hAnsi="Times New Roman" w:cs="Times New Roman"/>
          <w:sz w:val="18"/>
          <w:szCs w:val="18"/>
          <w:lang w:eastAsia="fr-FR"/>
        </w:rPr>
        <w:br/>
        <w:t>La répartition de cet actif entre les bénéficiaires est proportionnelle à des provisions mathématiques fictives, calculées sans intervention d'un taux d'intérêt, correspondant à la totalité des unités de rente ayant donné lieu ou non à versement d'arrérages et figurant aux comptes individuels à l'intérieur de la convention. La part ainsi déterminée est transformée en rentes viagères immédiates ou différées, couvertes intégralement par des provisions mathématiques.</w:t>
      </w:r>
    </w:p>
    <w:p w14:paraId="6A3C04E9" w14:textId="1B9541B4" w:rsidR="00896D40" w:rsidRDefault="00896D40" w:rsidP="00467CCF"/>
    <w:p w14:paraId="48064ED0" w14:textId="46AD48DA" w:rsidR="00896D40" w:rsidRDefault="00896D40">
      <w:r>
        <w:br w:type="page"/>
      </w:r>
    </w:p>
    <w:p w14:paraId="1D47B001" w14:textId="69940563" w:rsidR="003252D8" w:rsidRPr="003252D8" w:rsidRDefault="00896D40" w:rsidP="003252D8">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LIVRE V – </w:t>
      </w:r>
      <w:bookmarkStart w:id="10" w:name="_Hlk194648137"/>
      <w:r>
        <w:rPr>
          <w:rFonts w:ascii="Times New Roman" w:hAnsi="Times New Roman" w:cs="Times New Roman"/>
          <w:b/>
          <w:sz w:val="24"/>
          <w:szCs w:val="24"/>
        </w:rPr>
        <w:t>DISTRIBUTEURS D’ASSURANCE</w:t>
      </w:r>
      <w:bookmarkEnd w:id="10"/>
    </w:p>
    <w:p w14:paraId="00D0A35F" w14:textId="18194A64" w:rsidR="00896D40" w:rsidRDefault="00896D40" w:rsidP="00896D40">
      <w:pPr>
        <w:spacing w:after="0"/>
        <w:jc w:val="center"/>
        <w:rPr>
          <w:rFonts w:ascii="Times New Roman" w:hAnsi="Times New Roman" w:cs="Times New Roman"/>
          <w:sz w:val="24"/>
          <w:szCs w:val="24"/>
        </w:rPr>
      </w:pPr>
      <w:bookmarkStart w:id="11" w:name="_Hlk211592492"/>
      <w:r w:rsidRPr="003C3C7C">
        <w:rPr>
          <w:rFonts w:ascii="Times New Roman" w:hAnsi="Times New Roman" w:cs="Times New Roman"/>
          <w:sz w:val="24"/>
          <w:szCs w:val="24"/>
        </w:rPr>
        <w:t>(rédaction issue de Délibération n° 2025-94 APF du 27 août 2025)</w:t>
      </w:r>
    </w:p>
    <w:bookmarkEnd w:id="11"/>
    <w:p w14:paraId="011EF830" w14:textId="1135CF8E" w:rsidR="00896D40" w:rsidRDefault="00896D40" w:rsidP="003252D8">
      <w:pPr>
        <w:spacing w:before="120" w:after="0"/>
        <w:jc w:val="center"/>
        <w:rPr>
          <w:rFonts w:ascii="Times New Roman" w:hAnsi="Times New Roman" w:cs="Times New Roman"/>
          <w:b/>
          <w:sz w:val="24"/>
          <w:szCs w:val="24"/>
        </w:rPr>
      </w:pPr>
      <w:r w:rsidRPr="003252D8">
        <w:rPr>
          <w:rFonts w:ascii="Times New Roman" w:hAnsi="Times New Roman" w:cs="Times New Roman"/>
          <w:b/>
          <w:sz w:val="24"/>
          <w:szCs w:val="24"/>
        </w:rPr>
        <w:t>TITRE I : DISTRIBUTION D’ASSURANCE</w:t>
      </w:r>
    </w:p>
    <w:p w14:paraId="58684656" w14:textId="6E9F9675" w:rsidR="003252D8" w:rsidRPr="003252D8" w:rsidRDefault="003252D8" w:rsidP="003252D8">
      <w:pPr>
        <w:spacing w:after="0"/>
        <w:jc w:val="center"/>
        <w:rPr>
          <w:rFonts w:ascii="Times New Roman" w:hAnsi="Times New Roman" w:cs="Times New Roman"/>
          <w:sz w:val="24"/>
          <w:szCs w:val="24"/>
        </w:rPr>
      </w:pPr>
      <w:r w:rsidRPr="003C3C7C">
        <w:rPr>
          <w:rFonts w:ascii="Times New Roman" w:hAnsi="Times New Roman" w:cs="Times New Roman"/>
          <w:sz w:val="24"/>
          <w:szCs w:val="24"/>
        </w:rPr>
        <w:t>(rédaction issue de Délibération n° 2025-94 APF du 27 août 2025)</w:t>
      </w:r>
    </w:p>
    <w:p w14:paraId="1C23E730" w14:textId="68B08C02" w:rsidR="00896D40" w:rsidRDefault="00896D40" w:rsidP="003252D8">
      <w:pPr>
        <w:spacing w:before="120" w:after="0"/>
        <w:jc w:val="center"/>
        <w:rPr>
          <w:rFonts w:ascii="Times New Roman" w:hAnsi="Times New Roman" w:cs="Times New Roman"/>
          <w:b/>
          <w:sz w:val="24"/>
          <w:szCs w:val="24"/>
        </w:rPr>
      </w:pPr>
      <w:r w:rsidRPr="003252D8">
        <w:rPr>
          <w:rFonts w:ascii="Times New Roman" w:hAnsi="Times New Roman" w:cs="Times New Roman"/>
          <w:b/>
          <w:sz w:val="24"/>
          <w:szCs w:val="24"/>
        </w:rPr>
        <w:t>CHAPITRE II : PRINCIPES GENERAUX RELATIFS A L’INTERMEDIATION D’ASSURANCE</w:t>
      </w:r>
    </w:p>
    <w:p w14:paraId="67FFB9DA" w14:textId="77777777" w:rsidR="003252D8" w:rsidRDefault="003252D8" w:rsidP="003252D8">
      <w:pPr>
        <w:spacing w:after="0"/>
        <w:jc w:val="center"/>
        <w:rPr>
          <w:rFonts w:ascii="Times New Roman" w:hAnsi="Times New Roman" w:cs="Times New Roman"/>
          <w:sz w:val="24"/>
          <w:szCs w:val="24"/>
        </w:rPr>
      </w:pPr>
      <w:r w:rsidRPr="003C3C7C">
        <w:rPr>
          <w:rFonts w:ascii="Times New Roman" w:hAnsi="Times New Roman" w:cs="Times New Roman"/>
          <w:sz w:val="24"/>
          <w:szCs w:val="24"/>
        </w:rPr>
        <w:t>(rédaction issue de Délibération n° 2025-94 APF du 27 août 2025)</w:t>
      </w:r>
    </w:p>
    <w:p w14:paraId="57F8239C" w14:textId="77777777" w:rsidR="003252D8" w:rsidRPr="003252D8" w:rsidRDefault="003252D8" w:rsidP="003252D8">
      <w:pPr>
        <w:jc w:val="center"/>
        <w:rPr>
          <w:rFonts w:ascii="Times New Roman" w:hAnsi="Times New Roman" w:cs="Times New Roman"/>
          <w:b/>
          <w:sz w:val="24"/>
          <w:szCs w:val="24"/>
        </w:rPr>
      </w:pPr>
    </w:p>
    <w:p w14:paraId="2868D430" w14:textId="2D351C86" w:rsidR="00896D40" w:rsidRPr="003252D8" w:rsidRDefault="00896D40" w:rsidP="00DE57FB">
      <w:pPr>
        <w:spacing w:after="0"/>
        <w:rPr>
          <w:rFonts w:ascii="Times New Roman" w:hAnsi="Times New Roman" w:cs="Times New Roman"/>
          <w:sz w:val="24"/>
          <w:szCs w:val="24"/>
        </w:rPr>
      </w:pPr>
      <w:r w:rsidRPr="003252D8">
        <w:rPr>
          <w:rFonts w:ascii="Times New Roman" w:hAnsi="Times New Roman" w:cs="Times New Roman"/>
          <w:b/>
          <w:sz w:val="24"/>
          <w:szCs w:val="24"/>
        </w:rPr>
        <w:t>Article DEL 512-1</w:t>
      </w:r>
      <w:r w:rsidR="003252D8">
        <w:rPr>
          <w:rFonts w:ascii="Times New Roman" w:hAnsi="Times New Roman" w:cs="Times New Roman"/>
          <w:b/>
          <w:sz w:val="24"/>
          <w:szCs w:val="24"/>
        </w:rPr>
        <w:t xml:space="preserve"> </w:t>
      </w:r>
      <w:r w:rsidR="003252D8" w:rsidRPr="003C3C7C">
        <w:rPr>
          <w:rFonts w:ascii="Times New Roman" w:hAnsi="Times New Roman" w:cs="Times New Roman"/>
          <w:sz w:val="24"/>
          <w:szCs w:val="24"/>
        </w:rPr>
        <w:t>(rédaction issue de Délibération n° 2025-94 APF du 27 août 2025)</w:t>
      </w:r>
    </w:p>
    <w:p w14:paraId="2F0BA5DF" w14:textId="7E3EBC21" w:rsidR="001A0406" w:rsidRDefault="00896D40" w:rsidP="00896D40">
      <w:pPr>
        <w:rPr>
          <w:rFonts w:ascii="Times New Roman" w:hAnsi="Times New Roman" w:cs="Times New Roman"/>
          <w:sz w:val="24"/>
          <w:szCs w:val="24"/>
        </w:rPr>
      </w:pPr>
      <w:r w:rsidRPr="003252D8">
        <w:rPr>
          <w:rFonts w:ascii="Times New Roman" w:hAnsi="Times New Roman" w:cs="Times New Roman"/>
          <w:sz w:val="24"/>
          <w:szCs w:val="24"/>
        </w:rPr>
        <w:t>Les frais d’inscription au registre unique des intermédiaires d’assurance mentionnés à l’article LP 512-1 correspondent à des frais d’instruction de dossier qui sont non remboursables quelle que soit la suite donnée à la demande.</w:t>
      </w:r>
    </w:p>
    <w:p w14:paraId="47C42923" w14:textId="4B6AF3F6" w:rsidR="004A13D5" w:rsidRDefault="004A13D5">
      <w:pPr>
        <w:rPr>
          <w:rFonts w:ascii="Times New Roman" w:hAnsi="Times New Roman" w:cs="Times New Roman"/>
          <w:sz w:val="24"/>
          <w:szCs w:val="24"/>
        </w:rPr>
      </w:pPr>
      <w:r>
        <w:rPr>
          <w:rFonts w:ascii="Times New Roman" w:hAnsi="Times New Roman" w:cs="Times New Roman"/>
          <w:sz w:val="24"/>
          <w:szCs w:val="24"/>
        </w:rPr>
        <w:br w:type="page"/>
      </w:r>
    </w:p>
    <w:p w14:paraId="3947CADB" w14:textId="77777777" w:rsidR="00E07AED" w:rsidRPr="003C6DFB" w:rsidRDefault="00E07AED" w:rsidP="00E07AED">
      <w:pPr>
        <w:jc w:val="center"/>
        <w:rPr>
          <w:rFonts w:ascii="Times New Roman" w:hAnsi="Times New Roman" w:cs="Times New Roman"/>
          <w:b/>
          <w:sz w:val="36"/>
          <w:szCs w:val="36"/>
        </w:rPr>
      </w:pPr>
      <w:r w:rsidRPr="003C6DFB">
        <w:rPr>
          <w:rFonts w:ascii="Times New Roman" w:hAnsi="Times New Roman" w:cs="Times New Roman"/>
          <w:b/>
          <w:sz w:val="36"/>
          <w:szCs w:val="36"/>
        </w:rPr>
        <w:lastRenderedPageBreak/>
        <w:t>Partie arrêtés</w:t>
      </w:r>
    </w:p>
    <w:p w14:paraId="123DFDF7" w14:textId="42AC2C73" w:rsidR="00E07AED" w:rsidRDefault="00E07AED" w:rsidP="00E07AED">
      <w:pPr>
        <w:spacing w:after="0"/>
        <w:jc w:val="center"/>
        <w:rPr>
          <w:rFonts w:ascii="Times New Roman" w:hAnsi="Times New Roman" w:cs="Times New Roman"/>
          <w:b/>
        </w:rPr>
      </w:pPr>
      <w:r w:rsidRPr="00BE2E13">
        <w:rPr>
          <w:rFonts w:ascii="Times New Roman" w:hAnsi="Times New Roman" w:cs="Times New Roman"/>
          <w:b/>
        </w:rPr>
        <w:t xml:space="preserve">LIVRE </w:t>
      </w:r>
      <w:r>
        <w:rPr>
          <w:rFonts w:ascii="Times New Roman" w:hAnsi="Times New Roman" w:cs="Times New Roman"/>
          <w:b/>
        </w:rPr>
        <w:t>III</w:t>
      </w:r>
      <w:r w:rsidRPr="00BE2E13">
        <w:rPr>
          <w:rFonts w:ascii="Times New Roman" w:hAnsi="Times New Roman" w:cs="Times New Roman"/>
          <w:b/>
        </w:rPr>
        <w:t xml:space="preserve"> : </w:t>
      </w:r>
      <w:r>
        <w:rPr>
          <w:rFonts w:ascii="Times New Roman" w:hAnsi="Times New Roman" w:cs="Times New Roman"/>
          <w:b/>
        </w:rPr>
        <w:t>LES ENTREPRISES</w:t>
      </w:r>
      <w:r w:rsidRPr="00BE2E13">
        <w:rPr>
          <w:rFonts w:ascii="Times New Roman" w:hAnsi="Times New Roman" w:cs="Times New Roman"/>
          <w:b/>
        </w:rPr>
        <w:t xml:space="preserve"> D’ASSURANCES</w:t>
      </w:r>
    </w:p>
    <w:p w14:paraId="6231FF55" w14:textId="61108722" w:rsidR="00E07AED" w:rsidRPr="00E07AED" w:rsidRDefault="00E07AED" w:rsidP="00E07AED">
      <w:pPr>
        <w:jc w:val="center"/>
        <w:rPr>
          <w:rFonts w:ascii="Times New Roman" w:hAnsi="Times New Roman" w:cs="Times New Roman"/>
        </w:rPr>
      </w:pPr>
      <w:r w:rsidRPr="00E07AED">
        <w:rPr>
          <w:rFonts w:ascii="Times New Roman" w:hAnsi="Times New Roman" w:cs="Times New Roman"/>
        </w:rPr>
        <w:t>(rédaction issue de Arrêté n° 1905 CM du 6 octobre 2025)</w:t>
      </w:r>
    </w:p>
    <w:p w14:paraId="6F44AE5D" w14:textId="013752C8" w:rsidR="00E07AED" w:rsidRDefault="00E07AED" w:rsidP="00E07AED">
      <w:pPr>
        <w:spacing w:after="0"/>
        <w:jc w:val="center"/>
        <w:rPr>
          <w:rFonts w:ascii="Times New Roman" w:hAnsi="Times New Roman" w:cs="Times New Roman"/>
          <w:b/>
        </w:rPr>
      </w:pPr>
      <w:r w:rsidRPr="000E6912">
        <w:rPr>
          <w:rFonts w:ascii="Times New Roman" w:hAnsi="Times New Roman" w:cs="Times New Roman"/>
          <w:b/>
        </w:rPr>
        <w:t>TITRE I : DISPOSITIONS GENERALES</w:t>
      </w:r>
    </w:p>
    <w:p w14:paraId="426F76BB" w14:textId="3327FB11" w:rsidR="00E07AED" w:rsidRPr="00E07AED" w:rsidRDefault="00E07AED" w:rsidP="00E07AED">
      <w:pPr>
        <w:jc w:val="center"/>
        <w:rPr>
          <w:rFonts w:ascii="Times New Roman" w:hAnsi="Times New Roman" w:cs="Times New Roman"/>
        </w:rPr>
      </w:pPr>
      <w:r w:rsidRPr="00E07AED">
        <w:rPr>
          <w:rFonts w:ascii="Times New Roman" w:hAnsi="Times New Roman" w:cs="Times New Roman"/>
        </w:rPr>
        <w:t>(rédaction issue de Arrêté n° 1905 CM du 6 octobre 2025)</w:t>
      </w:r>
    </w:p>
    <w:p w14:paraId="38E22A7C" w14:textId="31540F3B" w:rsidR="00E07AED" w:rsidRPr="00E07AED" w:rsidRDefault="00E07AED" w:rsidP="00E07AED">
      <w:pPr>
        <w:rPr>
          <w:rFonts w:ascii="Times New Roman" w:hAnsi="Times New Roman" w:cs="Times New Roman"/>
          <w:sz w:val="24"/>
          <w:szCs w:val="24"/>
        </w:rPr>
      </w:pPr>
      <w:r w:rsidRPr="000E6912">
        <w:rPr>
          <w:rFonts w:ascii="Times New Roman" w:hAnsi="Times New Roman" w:cs="Times New Roman"/>
          <w:b/>
        </w:rPr>
        <w:t xml:space="preserve">Article A. 310-6 </w:t>
      </w:r>
      <w:r w:rsidRPr="003C3C7C">
        <w:rPr>
          <w:rFonts w:ascii="Times New Roman" w:hAnsi="Times New Roman" w:cs="Times New Roman"/>
          <w:sz w:val="24"/>
          <w:szCs w:val="24"/>
        </w:rPr>
        <w:t xml:space="preserve">(rédaction issue de </w:t>
      </w:r>
      <w:r w:rsidRPr="00E07AED">
        <w:rPr>
          <w:rFonts w:ascii="Times New Roman" w:hAnsi="Times New Roman" w:cs="Times New Roman"/>
          <w:sz w:val="24"/>
          <w:szCs w:val="24"/>
        </w:rPr>
        <w:t>Arrêté n° 1905 CM du 6 octobre 2025</w:t>
      </w:r>
      <w:r w:rsidRPr="003C3C7C">
        <w:rPr>
          <w:rFonts w:ascii="Times New Roman" w:hAnsi="Times New Roman" w:cs="Times New Roman"/>
          <w:sz w:val="24"/>
          <w:szCs w:val="24"/>
        </w:rPr>
        <w:t>)</w:t>
      </w:r>
    </w:p>
    <w:p w14:paraId="5784A4E5" w14:textId="77777777" w:rsidR="00E07AED" w:rsidRDefault="00E07AED" w:rsidP="00E07AED">
      <w:pPr>
        <w:jc w:val="both"/>
        <w:rPr>
          <w:rFonts w:ascii="Times New Roman" w:hAnsi="Times New Roman" w:cs="Times New Roman"/>
        </w:rPr>
      </w:pPr>
      <w:r w:rsidRPr="000E6912">
        <w:rPr>
          <w:rFonts w:ascii="Times New Roman" w:hAnsi="Times New Roman" w:cs="Times New Roman"/>
        </w:rPr>
        <w:t>Le formulaire de la demande de dérogation visée à l’article LP 310-6 ainsi que la liste des pièces à fournir sont fixés en annexe 3-6 du présent code. Le dossier peut être transmis sous forme dématérialisée.</w:t>
      </w:r>
    </w:p>
    <w:p w14:paraId="16B6DAD5" w14:textId="77777777" w:rsidR="00E07AED" w:rsidRDefault="00E07AED" w:rsidP="00E07AED">
      <w:pPr>
        <w:jc w:val="both"/>
        <w:rPr>
          <w:rFonts w:ascii="Times New Roman" w:hAnsi="Times New Roman" w:cs="Times New Roman"/>
        </w:rPr>
      </w:pPr>
    </w:p>
    <w:p w14:paraId="7FF5D798" w14:textId="3CDE64A5" w:rsidR="00E07AED" w:rsidRDefault="00E07AED" w:rsidP="00E07AED">
      <w:pPr>
        <w:spacing w:after="0"/>
        <w:jc w:val="center"/>
        <w:rPr>
          <w:rFonts w:ascii="Times New Roman" w:hAnsi="Times New Roman" w:cs="Times New Roman"/>
          <w:b/>
        </w:rPr>
      </w:pPr>
      <w:r w:rsidRPr="005A1B90">
        <w:rPr>
          <w:rFonts w:ascii="Times New Roman" w:hAnsi="Times New Roman" w:cs="Times New Roman"/>
          <w:b/>
        </w:rPr>
        <w:t>TITRE II : REGIME ADMINISTRATIF</w:t>
      </w:r>
    </w:p>
    <w:p w14:paraId="201F8BD5" w14:textId="6161982C" w:rsidR="00E07AED" w:rsidRPr="009E18ED" w:rsidRDefault="00E07AED" w:rsidP="009E18ED">
      <w:pPr>
        <w:spacing w:after="0"/>
        <w:jc w:val="center"/>
        <w:rPr>
          <w:rFonts w:ascii="Times New Roman" w:hAnsi="Times New Roman" w:cs="Times New Roman"/>
        </w:rPr>
      </w:pPr>
      <w:r w:rsidRPr="009E18ED">
        <w:rPr>
          <w:rFonts w:ascii="Times New Roman" w:hAnsi="Times New Roman" w:cs="Times New Roman"/>
        </w:rPr>
        <w:t>(rédaction issue de Arrêté n° 1905 CM du 6 octobre 2025)</w:t>
      </w:r>
    </w:p>
    <w:p w14:paraId="3AC7DABE" w14:textId="77777777" w:rsidR="00E07AED" w:rsidRPr="005A1B90" w:rsidRDefault="00E07AED" w:rsidP="00E07AED">
      <w:pPr>
        <w:jc w:val="center"/>
        <w:rPr>
          <w:rFonts w:ascii="Times New Roman" w:hAnsi="Times New Roman" w:cs="Times New Roman"/>
          <w:b/>
        </w:rPr>
      </w:pPr>
    </w:p>
    <w:p w14:paraId="155CE798" w14:textId="754437ED" w:rsidR="00E07AED" w:rsidRDefault="00E07AED" w:rsidP="00E07AED">
      <w:pPr>
        <w:spacing w:after="0"/>
        <w:jc w:val="center"/>
        <w:rPr>
          <w:rFonts w:ascii="Times New Roman" w:hAnsi="Times New Roman" w:cs="Times New Roman"/>
          <w:b/>
        </w:rPr>
      </w:pPr>
      <w:r w:rsidRPr="005A1B90">
        <w:rPr>
          <w:rFonts w:ascii="Times New Roman" w:hAnsi="Times New Roman" w:cs="Times New Roman"/>
          <w:b/>
        </w:rPr>
        <w:t>CHAPITRE I : AGREMENT DES ENTREPRISES D’ASSURANCE</w:t>
      </w:r>
    </w:p>
    <w:p w14:paraId="27779EED" w14:textId="1114183F" w:rsidR="00E07AED" w:rsidRPr="009E18ED" w:rsidRDefault="00E07AED" w:rsidP="00E07AED">
      <w:pPr>
        <w:spacing w:after="0"/>
        <w:jc w:val="center"/>
        <w:rPr>
          <w:rFonts w:ascii="Times New Roman" w:hAnsi="Times New Roman" w:cs="Times New Roman"/>
        </w:rPr>
      </w:pPr>
      <w:r w:rsidRPr="009E18ED">
        <w:rPr>
          <w:rFonts w:ascii="Times New Roman" w:hAnsi="Times New Roman" w:cs="Times New Roman"/>
        </w:rPr>
        <w:t>(rédaction issue de Arrêté n° 1905 CM du 6 octobre 2025)</w:t>
      </w:r>
    </w:p>
    <w:p w14:paraId="55227F39" w14:textId="77777777" w:rsidR="00E07AED" w:rsidRDefault="00E07AED" w:rsidP="00E07AED">
      <w:pPr>
        <w:jc w:val="center"/>
        <w:rPr>
          <w:rFonts w:ascii="Times New Roman" w:hAnsi="Times New Roman" w:cs="Times New Roman"/>
          <w:b/>
        </w:rPr>
      </w:pPr>
    </w:p>
    <w:p w14:paraId="514D7B15" w14:textId="77777777" w:rsidR="00E07AED" w:rsidRPr="00E07AED" w:rsidRDefault="00E07AED" w:rsidP="00E07AED">
      <w:pPr>
        <w:rPr>
          <w:rFonts w:ascii="Times New Roman" w:hAnsi="Times New Roman" w:cs="Times New Roman"/>
        </w:rPr>
      </w:pPr>
      <w:r w:rsidRPr="005A1B90">
        <w:rPr>
          <w:rFonts w:ascii="Times New Roman" w:hAnsi="Times New Roman" w:cs="Times New Roman"/>
          <w:b/>
        </w:rPr>
        <w:t>Article A. 321-1</w:t>
      </w:r>
      <w:r>
        <w:rPr>
          <w:rFonts w:ascii="Times New Roman" w:hAnsi="Times New Roman" w:cs="Times New Roman"/>
          <w:b/>
        </w:rPr>
        <w:t xml:space="preserve"> </w:t>
      </w:r>
      <w:r w:rsidRPr="00E07AED">
        <w:rPr>
          <w:rFonts w:ascii="Times New Roman" w:hAnsi="Times New Roman" w:cs="Times New Roman"/>
        </w:rPr>
        <w:t>(rédaction issue de Arrêté n° 1905 CM du 6 octobre 2025)</w:t>
      </w:r>
    </w:p>
    <w:p w14:paraId="727A9A20" w14:textId="28B8B6E7" w:rsidR="00E07AED" w:rsidRDefault="00E07AED" w:rsidP="00AE4C9F">
      <w:pPr>
        <w:jc w:val="both"/>
        <w:rPr>
          <w:rFonts w:ascii="Times New Roman" w:hAnsi="Times New Roman" w:cs="Times New Roman"/>
        </w:rPr>
      </w:pPr>
      <w:r w:rsidRPr="005A1B90">
        <w:rPr>
          <w:rFonts w:ascii="Times New Roman" w:hAnsi="Times New Roman" w:cs="Times New Roman"/>
        </w:rPr>
        <w:t>La liste des entreprises d'assurance agréées est tenue à jour et rendue publique par la Direction générale des affaires économiques.</w:t>
      </w:r>
    </w:p>
    <w:p w14:paraId="6477A5B3" w14:textId="65FFACC9" w:rsidR="00E07AED" w:rsidRPr="00AE4C9F" w:rsidRDefault="00E07AED" w:rsidP="00AE4C9F">
      <w:pPr>
        <w:spacing w:after="240"/>
        <w:rPr>
          <w:rFonts w:ascii="Times New Roman" w:hAnsi="Times New Roman" w:cs="Times New Roman"/>
          <w:sz w:val="24"/>
          <w:szCs w:val="24"/>
        </w:rPr>
      </w:pPr>
      <w:r w:rsidRPr="005A1B90">
        <w:rPr>
          <w:rFonts w:ascii="Times New Roman" w:hAnsi="Times New Roman" w:cs="Times New Roman"/>
          <w:b/>
        </w:rPr>
        <w:t xml:space="preserve">Article A. 321-2 </w:t>
      </w:r>
      <w:bookmarkStart w:id="12" w:name="_Hlk211594203"/>
      <w:r w:rsidR="00AE4C9F" w:rsidRPr="00EB2234">
        <w:rPr>
          <w:rFonts w:ascii="Times New Roman" w:hAnsi="Times New Roman" w:cs="Times New Roman"/>
        </w:rPr>
        <w:t>(rédaction issue de Arrêté n° 1905 CM du 6 octobre 2025)</w:t>
      </w:r>
      <w:bookmarkEnd w:id="12"/>
    </w:p>
    <w:p w14:paraId="5D1CA967" w14:textId="77777777" w:rsidR="00E07AED" w:rsidRDefault="00E07AED" w:rsidP="00E07AED">
      <w:pPr>
        <w:jc w:val="both"/>
        <w:rPr>
          <w:rFonts w:ascii="Times New Roman" w:hAnsi="Times New Roman" w:cs="Times New Roman"/>
        </w:rPr>
      </w:pPr>
      <w:r w:rsidRPr="005A1B90">
        <w:rPr>
          <w:rFonts w:ascii="Times New Roman" w:hAnsi="Times New Roman" w:cs="Times New Roman"/>
        </w:rPr>
        <w:t>La liste des Etats ou territoires qui remplissent les conditions mentionnées au deuxième alinéa de l’article LP</w:t>
      </w:r>
      <w:r>
        <w:rPr>
          <w:rFonts w:ascii="Times New Roman" w:hAnsi="Times New Roman" w:cs="Times New Roman"/>
        </w:rPr>
        <w:t> </w:t>
      </w:r>
      <w:r w:rsidRPr="005A1B90">
        <w:rPr>
          <w:rFonts w:ascii="Times New Roman" w:hAnsi="Times New Roman" w:cs="Times New Roman"/>
        </w:rPr>
        <w:t>321-2 est fixée en annexe 3-1 du présent code.</w:t>
      </w:r>
    </w:p>
    <w:p w14:paraId="2F9BCB68" w14:textId="20F4623C" w:rsidR="00E07AED" w:rsidRPr="00EB2234" w:rsidRDefault="00E07AED" w:rsidP="00E07AED">
      <w:pPr>
        <w:rPr>
          <w:rFonts w:ascii="Times New Roman" w:hAnsi="Times New Roman" w:cs="Times New Roman"/>
          <w:b/>
        </w:rPr>
      </w:pPr>
      <w:r w:rsidRPr="005A1B90">
        <w:rPr>
          <w:rFonts w:ascii="Times New Roman" w:hAnsi="Times New Roman" w:cs="Times New Roman"/>
          <w:b/>
        </w:rPr>
        <w:t>Article A. 321-3</w:t>
      </w:r>
      <w:r w:rsidR="00AE4C9F">
        <w:rPr>
          <w:rFonts w:ascii="Times New Roman" w:hAnsi="Times New Roman" w:cs="Times New Roman"/>
          <w:b/>
        </w:rPr>
        <w:t xml:space="preserve"> </w:t>
      </w:r>
      <w:r w:rsidR="00AE4C9F" w:rsidRPr="00EB2234">
        <w:rPr>
          <w:rFonts w:ascii="Times New Roman" w:hAnsi="Times New Roman" w:cs="Times New Roman"/>
        </w:rPr>
        <w:t>(rédaction issue de Arrêté n° 1905 CM du 6 octobre 2025)</w:t>
      </w:r>
    </w:p>
    <w:p w14:paraId="06D71958" w14:textId="2754BDD2" w:rsidR="00E07AED" w:rsidRDefault="00E07AED" w:rsidP="00E07AED">
      <w:pPr>
        <w:jc w:val="both"/>
        <w:rPr>
          <w:rFonts w:ascii="Times New Roman" w:hAnsi="Times New Roman" w:cs="Times New Roman"/>
        </w:rPr>
      </w:pPr>
      <w:r w:rsidRPr="005A1B90">
        <w:rPr>
          <w:rFonts w:ascii="Times New Roman" w:hAnsi="Times New Roman" w:cs="Times New Roman"/>
        </w:rPr>
        <w:t>La liste des documents à produire à l’appui d’une demande d’agrément administratif conformément à l’article LP</w:t>
      </w:r>
      <w:r>
        <w:rPr>
          <w:rFonts w:ascii="Times New Roman" w:hAnsi="Times New Roman" w:cs="Times New Roman"/>
        </w:rPr>
        <w:t> </w:t>
      </w:r>
      <w:r w:rsidRPr="005A1B90">
        <w:rPr>
          <w:rFonts w:ascii="Times New Roman" w:hAnsi="Times New Roman" w:cs="Times New Roman"/>
        </w:rPr>
        <w:t>321-3 est fixée en annexe 3-2 du présent code.</w:t>
      </w:r>
    </w:p>
    <w:p w14:paraId="7902F308" w14:textId="77777777" w:rsidR="004246F7" w:rsidRDefault="004246F7" w:rsidP="00E07AED">
      <w:pPr>
        <w:jc w:val="both"/>
        <w:rPr>
          <w:rFonts w:ascii="Times New Roman" w:hAnsi="Times New Roman" w:cs="Times New Roman"/>
        </w:rPr>
      </w:pPr>
    </w:p>
    <w:p w14:paraId="04F4002B" w14:textId="77777777" w:rsidR="00E07AED" w:rsidRPr="005A1B90" w:rsidRDefault="00E07AED" w:rsidP="00E07AED">
      <w:pPr>
        <w:jc w:val="center"/>
        <w:rPr>
          <w:rFonts w:ascii="Times New Roman" w:hAnsi="Times New Roman" w:cs="Times New Roman"/>
          <w:b/>
        </w:rPr>
      </w:pPr>
      <w:r w:rsidRPr="005A1B90">
        <w:rPr>
          <w:rFonts w:ascii="Times New Roman" w:hAnsi="Times New Roman" w:cs="Times New Roman"/>
          <w:b/>
        </w:rPr>
        <w:t>CHAPITRE II : CONTROLE DES ENTREPRISES D’ASSURANCE</w:t>
      </w:r>
    </w:p>
    <w:p w14:paraId="1FB711C5" w14:textId="77777777" w:rsidR="00E07AED" w:rsidRDefault="00E07AED" w:rsidP="00E07AED">
      <w:pPr>
        <w:jc w:val="center"/>
        <w:rPr>
          <w:rFonts w:ascii="Times New Roman" w:hAnsi="Times New Roman" w:cs="Times New Roman"/>
          <w:b/>
        </w:rPr>
      </w:pPr>
      <w:r w:rsidRPr="005A1B90">
        <w:rPr>
          <w:rFonts w:ascii="Times New Roman" w:hAnsi="Times New Roman" w:cs="Times New Roman"/>
          <w:b/>
        </w:rPr>
        <w:t>Section I : Exercice du contrôle</w:t>
      </w:r>
    </w:p>
    <w:p w14:paraId="4D31631F" w14:textId="6D1668E1" w:rsidR="00E07AED" w:rsidRPr="005A1B90" w:rsidRDefault="00E07AED" w:rsidP="00E07AED">
      <w:pPr>
        <w:rPr>
          <w:rFonts w:ascii="Times New Roman" w:hAnsi="Times New Roman" w:cs="Times New Roman"/>
          <w:b/>
        </w:rPr>
      </w:pPr>
      <w:r w:rsidRPr="005A1B90">
        <w:rPr>
          <w:rFonts w:ascii="Times New Roman" w:hAnsi="Times New Roman" w:cs="Times New Roman"/>
          <w:b/>
        </w:rPr>
        <w:t>Article A. 322-1</w:t>
      </w:r>
      <w:r w:rsidR="00EB2234">
        <w:rPr>
          <w:rFonts w:ascii="Times New Roman" w:hAnsi="Times New Roman" w:cs="Times New Roman"/>
          <w:b/>
        </w:rPr>
        <w:t xml:space="preserve"> </w:t>
      </w:r>
      <w:r w:rsidR="00EB2234" w:rsidRPr="00EB2234">
        <w:rPr>
          <w:rFonts w:ascii="Times New Roman" w:hAnsi="Times New Roman" w:cs="Times New Roman"/>
        </w:rPr>
        <w:t>(rédaction issue de Arrêté n° 1905 CM du 6 octobre 2025)</w:t>
      </w:r>
    </w:p>
    <w:p w14:paraId="7AB46AB5" w14:textId="77777777" w:rsidR="00E07AED" w:rsidRPr="005A1B90" w:rsidRDefault="00E07AED" w:rsidP="00E07AED">
      <w:pPr>
        <w:jc w:val="both"/>
        <w:rPr>
          <w:rFonts w:ascii="Times New Roman" w:hAnsi="Times New Roman" w:cs="Times New Roman"/>
        </w:rPr>
      </w:pPr>
      <w:r w:rsidRPr="005A1B90">
        <w:rPr>
          <w:rFonts w:ascii="Times New Roman" w:hAnsi="Times New Roman" w:cs="Times New Roman"/>
        </w:rPr>
        <w:t>La notification à la Polynésie française de la nomination ou du renouvellement des personnes physiques mentionnées aux articles LP</w:t>
      </w:r>
      <w:r>
        <w:rPr>
          <w:rFonts w:ascii="Times New Roman" w:hAnsi="Times New Roman" w:cs="Times New Roman"/>
        </w:rPr>
        <w:t> </w:t>
      </w:r>
      <w:r w:rsidRPr="005A1B90">
        <w:rPr>
          <w:rFonts w:ascii="Times New Roman" w:hAnsi="Times New Roman" w:cs="Times New Roman"/>
        </w:rPr>
        <w:t>322</w:t>
      </w:r>
      <w:r>
        <w:rPr>
          <w:rFonts w:ascii="Times New Roman" w:hAnsi="Times New Roman" w:cs="Times New Roman"/>
        </w:rPr>
        <w:t>-</w:t>
      </w:r>
      <w:r w:rsidRPr="005A1B90">
        <w:rPr>
          <w:rFonts w:ascii="Times New Roman" w:hAnsi="Times New Roman" w:cs="Times New Roman"/>
        </w:rPr>
        <w:t>3, DEL</w:t>
      </w:r>
      <w:r>
        <w:rPr>
          <w:rFonts w:ascii="Times New Roman" w:hAnsi="Times New Roman" w:cs="Times New Roman"/>
        </w:rPr>
        <w:t> </w:t>
      </w:r>
      <w:r w:rsidRPr="005A1B90">
        <w:rPr>
          <w:rFonts w:ascii="Times New Roman" w:hAnsi="Times New Roman" w:cs="Times New Roman"/>
        </w:rPr>
        <w:t>323-35 et DEL</w:t>
      </w:r>
      <w:r>
        <w:rPr>
          <w:rFonts w:ascii="Times New Roman" w:hAnsi="Times New Roman" w:cs="Times New Roman"/>
        </w:rPr>
        <w:t> </w:t>
      </w:r>
      <w:r w:rsidRPr="005A1B90">
        <w:rPr>
          <w:rFonts w:ascii="Times New Roman" w:hAnsi="Times New Roman" w:cs="Times New Roman"/>
        </w:rPr>
        <w:t>333</w:t>
      </w:r>
      <w:r>
        <w:rPr>
          <w:rFonts w:ascii="Times New Roman" w:hAnsi="Times New Roman" w:cs="Times New Roman"/>
        </w:rPr>
        <w:t>-</w:t>
      </w:r>
      <w:r w:rsidRPr="005A1B90">
        <w:rPr>
          <w:rFonts w:ascii="Times New Roman" w:hAnsi="Times New Roman" w:cs="Times New Roman"/>
        </w:rPr>
        <w:t>1 est effectuée dans les quinze jours francs suivant leur nomination ou leur renouvellement, au moyen du formulaire approprié dont le modèle figure en annexe 3-3 du présent code. La liste des pièces à produire à l’appui de la notification figure dans cette même annexe. Toutefois, la notification du dossier complet concernant le mandataire général mentionné à l’article DEL. 333-1 est effectuée au moins deux mois avant sa nomination ou son renouvellement.</w:t>
      </w:r>
    </w:p>
    <w:p w14:paraId="766EA8C6" w14:textId="43913317" w:rsidR="00E07AED" w:rsidRDefault="00E07AED" w:rsidP="00E07AED">
      <w:pPr>
        <w:jc w:val="both"/>
        <w:rPr>
          <w:rFonts w:ascii="Times New Roman" w:hAnsi="Times New Roman" w:cs="Times New Roman"/>
        </w:rPr>
      </w:pPr>
      <w:r w:rsidRPr="005A1B90">
        <w:rPr>
          <w:rFonts w:ascii="Times New Roman" w:hAnsi="Times New Roman" w:cs="Times New Roman"/>
        </w:rPr>
        <w:t>Sans préjudice des dispositions de l’article DEL</w:t>
      </w:r>
      <w:r>
        <w:rPr>
          <w:rFonts w:ascii="Times New Roman" w:hAnsi="Times New Roman" w:cs="Times New Roman"/>
        </w:rPr>
        <w:t> </w:t>
      </w:r>
      <w:r w:rsidRPr="005A1B90">
        <w:rPr>
          <w:rFonts w:ascii="Times New Roman" w:hAnsi="Times New Roman" w:cs="Times New Roman"/>
        </w:rPr>
        <w:t>333-1 applicables au mandataire général, la fonction des personnes physiques dont la nomination ou le renouvellement a fait l'objet d'une opposition cesse quinze jours après la notification de la décision d'opposition à l'entreprise et à la personne physique concernée par lettre recommandée avec accusé de réception ou remise contre récépissé.</w:t>
      </w:r>
    </w:p>
    <w:p w14:paraId="0E4D9A0F" w14:textId="5277BDAF" w:rsidR="00E07AED" w:rsidRPr="005A1B90" w:rsidRDefault="00E07AED" w:rsidP="00E07AED">
      <w:pPr>
        <w:rPr>
          <w:rFonts w:ascii="Times New Roman" w:hAnsi="Times New Roman" w:cs="Times New Roman"/>
          <w:b/>
        </w:rPr>
      </w:pPr>
      <w:r w:rsidRPr="005A1B90">
        <w:rPr>
          <w:rFonts w:ascii="Times New Roman" w:hAnsi="Times New Roman" w:cs="Times New Roman"/>
          <w:b/>
        </w:rPr>
        <w:lastRenderedPageBreak/>
        <w:t xml:space="preserve">Article A. 322-2 </w:t>
      </w:r>
      <w:r w:rsidR="00EB2234" w:rsidRPr="00EB2234">
        <w:rPr>
          <w:rFonts w:ascii="Times New Roman" w:hAnsi="Times New Roman" w:cs="Times New Roman"/>
        </w:rPr>
        <w:t>(rédaction issue de Arrêté n° 1905 CM du 6 octobre 2025)</w:t>
      </w:r>
    </w:p>
    <w:p w14:paraId="521BFB1A" w14:textId="77777777" w:rsidR="00E07AED" w:rsidRPr="005A1B90" w:rsidRDefault="00E07AED" w:rsidP="00E07AED">
      <w:pPr>
        <w:jc w:val="both"/>
        <w:rPr>
          <w:rFonts w:ascii="Times New Roman" w:hAnsi="Times New Roman" w:cs="Times New Roman"/>
        </w:rPr>
      </w:pPr>
      <w:r w:rsidRPr="005A1B90">
        <w:rPr>
          <w:rFonts w:ascii="Times New Roman" w:hAnsi="Times New Roman" w:cs="Times New Roman"/>
        </w:rPr>
        <w:t>Les documents mentionnés au 1er alinéa de l’article LP</w:t>
      </w:r>
      <w:r>
        <w:rPr>
          <w:rFonts w:ascii="Times New Roman" w:hAnsi="Times New Roman" w:cs="Times New Roman"/>
        </w:rPr>
        <w:t> </w:t>
      </w:r>
      <w:r w:rsidRPr="005A1B90">
        <w:rPr>
          <w:rFonts w:ascii="Times New Roman" w:hAnsi="Times New Roman" w:cs="Times New Roman"/>
        </w:rPr>
        <w:t>322-4 sont :</w:t>
      </w:r>
    </w:p>
    <w:p w14:paraId="167D037E" w14:textId="77777777" w:rsidR="00E07AED" w:rsidRPr="005A1B90" w:rsidRDefault="00E07AED" w:rsidP="00E07AED">
      <w:pPr>
        <w:jc w:val="both"/>
        <w:rPr>
          <w:rFonts w:ascii="Times New Roman" w:hAnsi="Times New Roman" w:cs="Times New Roman"/>
        </w:rPr>
      </w:pPr>
      <w:r w:rsidRPr="005A1B90">
        <w:rPr>
          <w:rFonts w:ascii="Times New Roman" w:hAnsi="Times New Roman" w:cs="Times New Roman"/>
        </w:rPr>
        <w:t>-</w:t>
      </w:r>
      <w:r w:rsidRPr="005A1B90">
        <w:rPr>
          <w:rFonts w:ascii="Times New Roman" w:hAnsi="Times New Roman" w:cs="Times New Roman"/>
        </w:rPr>
        <w:tab/>
        <w:t>le rapport annuel sur les opérations d’assurances effectuées en Polynésie française ;</w:t>
      </w:r>
    </w:p>
    <w:p w14:paraId="54FBB397" w14:textId="77777777" w:rsidR="00E07AED" w:rsidRPr="005A1B90" w:rsidRDefault="00E07AED" w:rsidP="00E07AED">
      <w:pPr>
        <w:jc w:val="both"/>
        <w:rPr>
          <w:rFonts w:ascii="Times New Roman" w:hAnsi="Times New Roman" w:cs="Times New Roman"/>
        </w:rPr>
      </w:pPr>
      <w:r w:rsidRPr="005A1B90">
        <w:rPr>
          <w:rFonts w:ascii="Times New Roman" w:hAnsi="Times New Roman" w:cs="Times New Roman"/>
        </w:rPr>
        <w:t>-</w:t>
      </w:r>
      <w:r w:rsidRPr="005A1B90">
        <w:rPr>
          <w:rFonts w:ascii="Times New Roman" w:hAnsi="Times New Roman" w:cs="Times New Roman"/>
        </w:rPr>
        <w:tab/>
        <w:t>le compte-rendu semestriel d’exécution du programme d’activité.</w:t>
      </w:r>
    </w:p>
    <w:p w14:paraId="5725983F" w14:textId="77777777" w:rsidR="00E07AED" w:rsidRPr="005A1B90" w:rsidRDefault="00E07AED" w:rsidP="00E07AED">
      <w:pPr>
        <w:jc w:val="both"/>
        <w:rPr>
          <w:rFonts w:ascii="Times New Roman" w:hAnsi="Times New Roman" w:cs="Times New Roman"/>
        </w:rPr>
      </w:pPr>
      <w:r w:rsidRPr="005A1B90">
        <w:rPr>
          <w:rFonts w:ascii="Times New Roman" w:hAnsi="Times New Roman" w:cs="Times New Roman"/>
        </w:rPr>
        <w:t xml:space="preserve">Tous ces documents doivent être rédigés ou traduits en langue française. </w:t>
      </w:r>
    </w:p>
    <w:p w14:paraId="584E9468" w14:textId="77777777" w:rsidR="00E07AED" w:rsidRDefault="00E07AED" w:rsidP="00E07AED">
      <w:pPr>
        <w:jc w:val="both"/>
        <w:rPr>
          <w:rFonts w:ascii="Times New Roman" w:hAnsi="Times New Roman" w:cs="Times New Roman"/>
        </w:rPr>
      </w:pPr>
      <w:r w:rsidRPr="005A1B90">
        <w:rPr>
          <w:rFonts w:ascii="Times New Roman" w:hAnsi="Times New Roman" w:cs="Times New Roman"/>
        </w:rPr>
        <w:t>Ils peuvent être transmis sous forme dématérialisée à la Direction générale des affaires économiques.</w:t>
      </w:r>
    </w:p>
    <w:p w14:paraId="59A04CB8" w14:textId="4F54C3DA" w:rsidR="00E07AED" w:rsidRPr="005A1B90" w:rsidRDefault="00E07AED" w:rsidP="00E07AED">
      <w:pPr>
        <w:rPr>
          <w:rFonts w:ascii="Times New Roman" w:hAnsi="Times New Roman" w:cs="Times New Roman"/>
          <w:b/>
        </w:rPr>
      </w:pPr>
      <w:r w:rsidRPr="005A1B90">
        <w:rPr>
          <w:rFonts w:ascii="Times New Roman" w:hAnsi="Times New Roman" w:cs="Times New Roman"/>
          <w:b/>
        </w:rPr>
        <w:t xml:space="preserve">Article A. 322-3 </w:t>
      </w:r>
      <w:bookmarkStart w:id="13" w:name="_Hlk211594398"/>
      <w:r w:rsidR="005C487B" w:rsidRPr="005C487B">
        <w:rPr>
          <w:rFonts w:ascii="Times New Roman" w:hAnsi="Times New Roman" w:cs="Times New Roman"/>
        </w:rPr>
        <w:t>(rédaction issue de Arrêté n° 1905 CM du 6 octobre 2025)</w:t>
      </w:r>
      <w:bookmarkEnd w:id="13"/>
    </w:p>
    <w:p w14:paraId="75AC211B" w14:textId="77777777" w:rsidR="00E07AED" w:rsidRPr="005A1B90" w:rsidRDefault="00E07AED" w:rsidP="00E07AED">
      <w:pPr>
        <w:jc w:val="both"/>
        <w:rPr>
          <w:rFonts w:ascii="Times New Roman" w:hAnsi="Times New Roman" w:cs="Times New Roman"/>
        </w:rPr>
      </w:pPr>
      <w:r w:rsidRPr="005A1B90">
        <w:rPr>
          <w:rFonts w:ascii="Times New Roman" w:hAnsi="Times New Roman" w:cs="Times New Roman"/>
        </w:rPr>
        <w:t>Le rapport annuel prévu à l’article A</w:t>
      </w:r>
      <w:r>
        <w:rPr>
          <w:rFonts w:ascii="Times New Roman" w:hAnsi="Times New Roman" w:cs="Times New Roman"/>
        </w:rPr>
        <w:t> </w:t>
      </w:r>
      <w:r w:rsidRPr="005A1B90">
        <w:rPr>
          <w:rFonts w:ascii="Times New Roman" w:hAnsi="Times New Roman" w:cs="Times New Roman"/>
        </w:rPr>
        <w:t>322-2 est transmis dans les six mois suivant la fin de l’exercice comptable. Il comporte les informations mentionnées à l’annexe 3-4 du présent code.</w:t>
      </w:r>
    </w:p>
    <w:p w14:paraId="677F0915" w14:textId="549CCD1D" w:rsidR="00E07AED" w:rsidRPr="005A1B90" w:rsidRDefault="00E07AED" w:rsidP="00E07AED">
      <w:pPr>
        <w:rPr>
          <w:rFonts w:ascii="Times New Roman" w:hAnsi="Times New Roman" w:cs="Times New Roman"/>
          <w:b/>
        </w:rPr>
      </w:pPr>
      <w:r w:rsidRPr="005A1B90">
        <w:rPr>
          <w:rFonts w:ascii="Times New Roman" w:hAnsi="Times New Roman" w:cs="Times New Roman"/>
          <w:b/>
        </w:rPr>
        <w:t xml:space="preserve">Article A. 322-4 </w:t>
      </w:r>
      <w:r w:rsidR="009E18ED" w:rsidRPr="005C487B">
        <w:rPr>
          <w:rFonts w:ascii="Times New Roman" w:hAnsi="Times New Roman" w:cs="Times New Roman"/>
        </w:rPr>
        <w:t>(rédaction issue de Arrêté n° 1905 CM du 6 octobre 2025)</w:t>
      </w:r>
    </w:p>
    <w:p w14:paraId="0F8C69A3" w14:textId="77777777" w:rsidR="00E07AED" w:rsidRPr="005A1B90" w:rsidRDefault="00E07AED" w:rsidP="00E07AED">
      <w:pPr>
        <w:jc w:val="both"/>
        <w:rPr>
          <w:rFonts w:ascii="Times New Roman" w:hAnsi="Times New Roman" w:cs="Times New Roman"/>
        </w:rPr>
      </w:pPr>
      <w:r w:rsidRPr="005A1B90">
        <w:rPr>
          <w:rFonts w:ascii="Times New Roman" w:hAnsi="Times New Roman" w:cs="Times New Roman"/>
        </w:rPr>
        <w:t>Le compte-rendu d’exécution du programme d’activité visé aux articles DEL</w:t>
      </w:r>
      <w:r>
        <w:rPr>
          <w:rFonts w:ascii="Times New Roman" w:hAnsi="Times New Roman" w:cs="Times New Roman"/>
        </w:rPr>
        <w:t> </w:t>
      </w:r>
      <w:r w:rsidRPr="005A1B90">
        <w:rPr>
          <w:rFonts w:ascii="Times New Roman" w:hAnsi="Times New Roman" w:cs="Times New Roman"/>
        </w:rPr>
        <w:t>321-</w:t>
      </w:r>
      <w:r>
        <w:rPr>
          <w:rFonts w:ascii="Times New Roman" w:hAnsi="Times New Roman" w:cs="Times New Roman"/>
        </w:rPr>
        <w:t>6</w:t>
      </w:r>
      <w:r w:rsidRPr="005A1B90">
        <w:rPr>
          <w:rFonts w:ascii="Times New Roman" w:hAnsi="Times New Roman" w:cs="Times New Roman"/>
        </w:rPr>
        <w:t xml:space="preserve"> et A</w:t>
      </w:r>
      <w:r>
        <w:rPr>
          <w:rFonts w:ascii="Times New Roman" w:hAnsi="Times New Roman" w:cs="Times New Roman"/>
        </w:rPr>
        <w:t> </w:t>
      </w:r>
      <w:r w:rsidRPr="005A1B90">
        <w:rPr>
          <w:rFonts w:ascii="Times New Roman" w:hAnsi="Times New Roman" w:cs="Times New Roman"/>
        </w:rPr>
        <w:t>322-2 est remis à la Direction générale des affaires économiques au plus tard dans les deux mois suivants la fin de chaque semestre.</w:t>
      </w:r>
    </w:p>
    <w:p w14:paraId="18BD411F" w14:textId="77777777" w:rsidR="00E07AED" w:rsidRDefault="00E07AED" w:rsidP="00E07AED">
      <w:pPr>
        <w:jc w:val="both"/>
        <w:rPr>
          <w:rFonts w:ascii="Times New Roman" w:hAnsi="Times New Roman" w:cs="Times New Roman"/>
        </w:rPr>
      </w:pPr>
      <w:r w:rsidRPr="005A1B90">
        <w:rPr>
          <w:rFonts w:ascii="Times New Roman" w:hAnsi="Times New Roman" w:cs="Times New Roman"/>
        </w:rPr>
        <w:t>Les informations exigées sont fixées en annexe 3-5 du présent code.</w:t>
      </w:r>
    </w:p>
    <w:p w14:paraId="2F7810DD" w14:textId="1E75BC33" w:rsidR="00E07AED" w:rsidRDefault="00E07AED" w:rsidP="009E18ED">
      <w:pPr>
        <w:spacing w:after="0"/>
        <w:jc w:val="center"/>
        <w:rPr>
          <w:rFonts w:ascii="Times New Roman" w:hAnsi="Times New Roman" w:cs="Times New Roman"/>
          <w:b/>
        </w:rPr>
      </w:pPr>
      <w:r w:rsidRPr="005A1B90">
        <w:rPr>
          <w:rFonts w:ascii="Times New Roman" w:hAnsi="Times New Roman" w:cs="Times New Roman"/>
          <w:b/>
        </w:rPr>
        <w:t>Section II : Mesures de police administrative</w:t>
      </w:r>
    </w:p>
    <w:p w14:paraId="25C1A67A" w14:textId="111C67C5" w:rsidR="009E18ED" w:rsidRDefault="009E18ED" w:rsidP="00E07AED">
      <w:pPr>
        <w:jc w:val="center"/>
        <w:rPr>
          <w:rFonts w:ascii="Times New Roman" w:hAnsi="Times New Roman" w:cs="Times New Roman"/>
          <w:b/>
        </w:rPr>
      </w:pPr>
      <w:r w:rsidRPr="005C487B">
        <w:rPr>
          <w:rFonts w:ascii="Times New Roman" w:hAnsi="Times New Roman" w:cs="Times New Roman"/>
        </w:rPr>
        <w:t>(rédaction issue de Arrêté n° 1905 CM du 6 octobre 2025)</w:t>
      </w:r>
    </w:p>
    <w:p w14:paraId="2C2BB684" w14:textId="00BF8E51" w:rsidR="00E07AED" w:rsidRPr="005A1B90" w:rsidRDefault="00E07AED" w:rsidP="00E07AED">
      <w:pPr>
        <w:rPr>
          <w:rFonts w:ascii="Times New Roman" w:hAnsi="Times New Roman" w:cs="Times New Roman"/>
          <w:b/>
        </w:rPr>
      </w:pPr>
      <w:r w:rsidRPr="005A1B90">
        <w:rPr>
          <w:rFonts w:ascii="Times New Roman" w:hAnsi="Times New Roman" w:cs="Times New Roman"/>
          <w:b/>
        </w:rPr>
        <w:t>Article A. 322-5</w:t>
      </w:r>
      <w:r w:rsidR="009E18ED">
        <w:rPr>
          <w:rFonts w:ascii="Times New Roman" w:hAnsi="Times New Roman" w:cs="Times New Roman"/>
          <w:b/>
        </w:rPr>
        <w:t xml:space="preserve"> </w:t>
      </w:r>
      <w:r w:rsidR="009E18ED" w:rsidRPr="005C487B">
        <w:rPr>
          <w:rFonts w:ascii="Times New Roman" w:hAnsi="Times New Roman" w:cs="Times New Roman"/>
        </w:rPr>
        <w:t>(rédaction issue de Arrêté n° 1905 CM du 6 octobre 2025)</w:t>
      </w:r>
    </w:p>
    <w:p w14:paraId="2405C3B1" w14:textId="77777777" w:rsidR="00E07AED" w:rsidRPr="005A1B90" w:rsidRDefault="00E07AED" w:rsidP="00E07AED">
      <w:pPr>
        <w:jc w:val="both"/>
        <w:rPr>
          <w:rFonts w:ascii="Times New Roman" w:hAnsi="Times New Roman" w:cs="Times New Roman"/>
        </w:rPr>
      </w:pPr>
      <w:r w:rsidRPr="005A1B90">
        <w:rPr>
          <w:rFonts w:ascii="Times New Roman" w:hAnsi="Times New Roman" w:cs="Times New Roman"/>
        </w:rPr>
        <w:t>Lorsque le président de la Polynésie française exige d'une personne mentionnée à l’article LP</w:t>
      </w:r>
      <w:r>
        <w:rPr>
          <w:rFonts w:ascii="Times New Roman" w:hAnsi="Times New Roman" w:cs="Times New Roman"/>
        </w:rPr>
        <w:t> </w:t>
      </w:r>
      <w:r w:rsidRPr="005A1B90">
        <w:rPr>
          <w:rFonts w:ascii="Times New Roman" w:hAnsi="Times New Roman" w:cs="Times New Roman"/>
        </w:rPr>
        <w:t>322-9 la remise pour approbation d'un programme de rétablissement prévu à cet article, cette dernière est tenue de le remettre dans un délai d'un mois au maximum.</w:t>
      </w:r>
    </w:p>
    <w:p w14:paraId="0C3119B2" w14:textId="77777777" w:rsidR="00E07AED" w:rsidRDefault="00E07AED" w:rsidP="00E07AED">
      <w:pPr>
        <w:jc w:val="both"/>
        <w:rPr>
          <w:rFonts w:ascii="Times New Roman" w:hAnsi="Times New Roman" w:cs="Times New Roman"/>
        </w:rPr>
      </w:pPr>
      <w:r w:rsidRPr="005A1B90">
        <w:rPr>
          <w:rFonts w:ascii="Times New Roman" w:hAnsi="Times New Roman" w:cs="Times New Roman"/>
        </w:rPr>
        <w:t>Elle est également tenue d’informer en permanence le président de la Polynésie française de l’élaboration du programme de rétablissement et de la mise en œuvre des décisions et mesures qu'il contient.</w:t>
      </w:r>
    </w:p>
    <w:p w14:paraId="52B38493" w14:textId="65C342B9" w:rsidR="00E07AED" w:rsidRPr="00EA3353" w:rsidRDefault="00E07AED" w:rsidP="00E07AED">
      <w:pPr>
        <w:rPr>
          <w:rFonts w:ascii="Times New Roman" w:hAnsi="Times New Roman" w:cs="Times New Roman"/>
          <w:b/>
        </w:rPr>
      </w:pPr>
      <w:r w:rsidRPr="00EA3353">
        <w:rPr>
          <w:rFonts w:ascii="Times New Roman" w:hAnsi="Times New Roman" w:cs="Times New Roman"/>
          <w:b/>
        </w:rPr>
        <w:t>Article A. 322-6</w:t>
      </w:r>
      <w:r w:rsidR="009E18ED">
        <w:rPr>
          <w:rFonts w:ascii="Times New Roman" w:hAnsi="Times New Roman" w:cs="Times New Roman"/>
          <w:b/>
        </w:rPr>
        <w:t xml:space="preserve"> </w:t>
      </w:r>
      <w:r w:rsidR="009E18ED" w:rsidRPr="005C487B">
        <w:rPr>
          <w:rFonts w:ascii="Times New Roman" w:hAnsi="Times New Roman" w:cs="Times New Roman"/>
        </w:rPr>
        <w:t>(rédaction issue de Arrêté n° 1905 CM du 6 octobre 2025)</w:t>
      </w:r>
    </w:p>
    <w:p w14:paraId="4BF1DD1C" w14:textId="77777777" w:rsidR="00E07AED" w:rsidRPr="00EA3353" w:rsidRDefault="00E07AED" w:rsidP="00E07AED">
      <w:pPr>
        <w:jc w:val="both"/>
        <w:rPr>
          <w:rFonts w:ascii="Times New Roman" w:hAnsi="Times New Roman" w:cs="Times New Roman"/>
        </w:rPr>
      </w:pPr>
      <w:r w:rsidRPr="00EA3353">
        <w:rPr>
          <w:rFonts w:ascii="Times New Roman" w:hAnsi="Times New Roman" w:cs="Times New Roman"/>
        </w:rPr>
        <w:t>Les décisions de nomination d'un administrateur provisoire prises en application de l'article LP</w:t>
      </w:r>
      <w:r>
        <w:rPr>
          <w:rFonts w:ascii="Times New Roman" w:hAnsi="Times New Roman" w:cs="Times New Roman"/>
        </w:rPr>
        <w:t> </w:t>
      </w:r>
      <w:r w:rsidRPr="00EA3353">
        <w:rPr>
          <w:rFonts w:ascii="Times New Roman" w:hAnsi="Times New Roman" w:cs="Times New Roman"/>
        </w:rPr>
        <w:t>322-11 précisent la durée prévisible de la mission confiée ainsi que les conditions de la rémunération mensuelle, qui tiennent compte notamment de la nature et de l'importance de la mission ainsi que de la situation de l'administrateur désigné.</w:t>
      </w:r>
    </w:p>
    <w:p w14:paraId="18BC4F9E" w14:textId="4EBA4816" w:rsidR="00E07AED" w:rsidRPr="00EA3353" w:rsidRDefault="00E07AED" w:rsidP="00E07AED">
      <w:pPr>
        <w:rPr>
          <w:rFonts w:ascii="Times New Roman" w:hAnsi="Times New Roman" w:cs="Times New Roman"/>
          <w:b/>
        </w:rPr>
      </w:pPr>
      <w:r w:rsidRPr="00EA3353">
        <w:rPr>
          <w:rFonts w:ascii="Times New Roman" w:hAnsi="Times New Roman" w:cs="Times New Roman"/>
          <w:b/>
        </w:rPr>
        <w:t>Article A. 322-7</w:t>
      </w:r>
      <w:r w:rsidR="009E18ED">
        <w:rPr>
          <w:rFonts w:ascii="Times New Roman" w:hAnsi="Times New Roman" w:cs="Times New Roman"/>
          <w:b/>
        </w:rPr>
        <w:t xml:space="preserve"> </w:t>
      </w:r>
      <w:r w:rsidR="009E18ED" w:rsidRPr="005C487B">
        <w:rPr>
          <w:rFonts w:ascii="Times New Roman" w:hAnsi="Times New Roman" w:cs="Times New Roman"/>
        </w:rPr>
        <w:t>(rédaction issue de Arrêté n° 1905 CM du 6 octobre 2025)</w:t>
      </w:r>
    </w:p>
    <w:p w14:paraId="0B472F14" w14:textId="77777777" w:rsidR="00E07AED" w:rsidRDefault="00E07AED" w:rsidP="00E07AED">
      <w:pPr>
        <w:jc w:val="both"/>
        <w:rPr>
          <w:rFonts w:ascii="Times New Roman" w:hAnsi="Times New Roman" w:cs="Times New Roman"/>
        </w:rPr>
      </w:pPr>
      <w:r w:rsidRPr="00EA3353">
        <w:rPr>
          <w:rFonts w:ascii="Times New Roman" w:hAnsi="Times New Roman" w:cs="Times New Roman"/>
        </w:rPr>
        <w:t>La décision de retrait total de l'agrément administratif publiée au Journal officiel de la Polynésie française précise le nom et les coordonnées des autorités compétentes pour les besoins de la liquidation et, le cas échéant, du ou des liquidateurs désignés.</w:t>
      </w:r>
    </w:p>
    <w:p w14:paraId="44E5BB1A" w14:textId="77777777" w:rsidR="00E07AED" w:rsidRDefault="00E07AED" w:rsidP="00E07AED">
      <w:pPr>
        <w:jc w:val="both"/>
        <w:rPr>
          <w:rFonts w:ascii="Times New Roman" w:hAnsi="Times New Roman" w:cs="Times New Roman"/>
        </w:rPr>
      </w:pPr>
    </w:p>
    <w:p w14:paraId="3C47AE0F" w14:textId="77777777" w:rsidR="00E07AED" w:rsidRDefault="00E07AED" w:rsidP="009E18ED">
      <w:pPr>
        <w:spacing w:after="0"/>
        <w:jc w:val="center"/>
        <w:rPr>
          <w:rFonts w:ascii="Times New Roman" w:hAnsi="Times New Roman" w:cs="Times New Roman"/>
          <w:b/>
        </w:rPr>
      </w:pPr>
      <w:r w:rsidRPr="00457E5B">
        <w:rPr>
          <w:rFonts w:ascii="Times New Roman" w:hAnsi="Times New Roman" w:cs="Times New Roman"/>
          <w:b/>
        </w:rPr>
        <w:t>CHAPITRE III : REGLES PRUDENTIELLES APPLICABLES AUX ENTREPRISES</w:t>
      </w:r>
      <w:r w:rsidRPr="00D61245">
        <w:rPr>
          <w:rFonts w:ascii="Times New Roman" w:hAnsi="Times New Roman" w:cs="Times New Roman"/>
        </w:rPr>
        <w:t xml:space="preserve"> </w:t>
      </w:r>
      <w:r w:rsidRPr="00457E5B">
        <w:rPr>
          <w:rFonts w:ascii="Times New Roman" w:hAnsi="Times New Roman" w:cs="Times New Roman"/>
          <w:b/>
        </w:rPr>
        <w:t>D’ASSURANCE</w:t>
      </w:r>
    </w:p>
    <w:p w14:paraId="036BAC72" w14:textId="77777777" w:rsidR="009E18ED" w:rsidRDefault="009E18ED" w:rsidP="009E18ED">
      <w:pPr>
        <w:jc w:val="center"/>
        <w:rPr>
          <w:rFonts w:ascii="Times New Roman" w:hAnsi="Times New Roman" w:cs="Times New Roman"/>
        </w:rPr>
      </w:pPr>
      <w:r w:rsidRPr="005C487B">
        <w:rPr>
          <w:rFonts w:ascii="Times New Roman" w:hAnsi="Times New Roman" w:cs="Times New Roman"/>
        </w:rPr>
        <w:t>(rédaction issue de Arrêté n° 1905 CM du 6 octobre 2025)</w:t>
      </w:r>
    </w:p>
    <w:p w14:paraId="24ED5895" w14:textId="64EA1670" w:rsidR="00E07AED" w:rsidRPr="00D61245" w:rsidRDefault="00E07AED" w:rsidP="00E07AED">
      <w:pPr>
        <w:jc w:val="both"/>
        <w:rPr>
          <w:rFonts w:ascii="Times New Roman" w:hAnsi="Times New Roman" w:cs="Times New Roman"/>
        </w:rPr>
      </w:pPr>
      <w:r w:rsidRPr="00457E5B">
        <w:rPr>
          <w:rFonts w:ascii="Times New Roman" w:hAnsi="Times New Roman" w:cs="Times New Roman"/>
        </w:rPr>
        <w:t>Néant</w:t>
      </w:r>
    </w:p>
    <w:p w14:paraId="406C0B85" w14:textId="77777777" w:rsidR="00E07AED" w:rsidRDefault="00E07AED" w:rsidP="00E07AED">
      <w:pPr>
        <w:rPr>
          <w:rFonts w:ascii="Times New Roman" w:hAnsi="Times New Roman" w:cs="Times New Roman"/>
        </w:rPr>
      </w:pPr>
      <w:r>
        <w:rPr>
          <w:rFonts w:ascii="Times New Roman" w:hAnsi="Times New Roman" w:cs="Times New Roman"/>
        </w:rPr>
        <w:lastRenderedPageBreak/>
        <w:br w:type="page"/>
      </w:r>
    </w:p>
    <w:p w14:paraId="0C02BA6C" w14:textId="54C33827" w:rsidR="00E07AED" w:rsidRDefault="00E07AED" w:rsidP="009E18ED">
      <w:pPr>
        <w:spacing w:after="0"/>
        <w:jc w:val="center"/>
        <w:rPr>
          <w:rFonts w:ascii="Times New Roman" w:hAnsi="Times New Roman" w:cs="Times New Roman"/>
          <w:b/>
        </w:rPr>
      </w:pPr>
      <w:r w:rsidRPr="00EA3353">
        <w:rPr>
          <w:rFonts w:ascii="Times New Roman" w:hAnsi="Times New Roman" w:cs="Times New Roman"/>
          <w:b/>
        </w:rPr>
        <w:lastRenderedPageBreak/>
        <w:t>TITRE III : REGLES DE CONSTITUTION ET DE FONCTIONNEMENT DES ENTREPRISES D’ASSURANCE</w:t>
      </w:r>
    </w:p>
    <w:p w14:paraId="604E067C" w14:textId="2C5BA67A" w:rsidR="009E18ED" w:rsidRPr="00EA3353" w:rsidRDefault="009E18ED" w:rsidP="00E07AED">
      <w:pPr>
        <w:jc w:val="center"/>
        <w:rPr>
          <w:rFonts w:ascii="Times New Roman" w:hAnsi="Times New Roman" w:cs="Times New Roman"/>
          <w:b/>
        </w:rPr>
      </w:pPr>
      <w:r w:rsidRPr="005C487B">
        <w:rPr>
          <w:rFonts w:ascii="Times New Roman" w:hAnsi="Times New Roman" w:cs="Times New Roman"/>
        </w:rPr>
        <w:t>(rédaction issue de Arrêté n° 1905 CM du 6 octobre 2025)</w:t>
      </w:r>
    </w:p>
    <w:p w14:paraId="5FB67130" w14:textId="530E7195" w:rsidR="00E07AED" w:rsidRDefault="00E07AED" w:rsidP="009E18ED">
      <w:pPr>
        <w:spacing w:after="0"/>
        <w:jc w:val="center"/>
        <w:rPr>
          <w:rFonts w:ascii="Times New Roman" w:hAnsi="Times New Roman" w:cs="Times New Roman"/>
          <w:b/>
        </w:rPr>
      </w:pPr>
      <w:r w:rsidRPr="00EA3353">
        <w:rPr>
          <w:rFonts w:ascii="Times New Roman" w:hAnsi="Times New Roman" w:cs="Times New Roman"/>
          <w:b/>
        </w:rPr>
        <w:t>CHAPITRE I : DISPOSITIONS COMMUNES A TOUTES LES ENTREPRISES D’ASSURANCE</w:t>
      </w:r>
    </w:p>
    <w:p w14:paraId="6C28441B" w14:textId="5FC9BDFC" w:rsidR="009E18ED" w:rsidRPr="00EA3353" w:rsidRDefault="009E18ED" w:rsidP="00E07AED">
      <w:pPr>
        <w:jc w:val="center"/>
        <w:rPr>
          <w:rFonts w:ascii="Times New Roman" w:hAnsi="Times New Roman" w:cs="Times New Roman"/>
          <w:b/>
        </w:rPr>
      </w:pPr>
      <w:r w:rsidRPr="005C487B">
        <w:rPr>
          <w:rFonts w:ascii="Times New Roman" w:hAnsi="Times New Roman" w:cs="Times New Roman"/>
        </w:rPr>
        <w:t>(rédaction issue de Arrêté n° 1905 CM du 6 octobre 2025)</w:t>
      </w:r>
    </w:p>
    <w:p w14:paraId="752121DD" w14:textId="598A6841" w:rsidR="00E07AED" w:rsidRDefault="00E07AED" w:rsidP="009E18ED">
      <w:pPr>
        <w:spacing w:after="0"/>
        <w:jc w:val="center"/>
        <w:rPr>
          <w:rFonts w:ascii="Times New Roman" w:hAnsi="Times New Roman" w:cs="Times New Roman"/>
          <w:b/>
        </w:rPr>
      </w:pPr>
      <w:r w:rsidRPr="00EA3353">
        <w:rPr>
          <w:rFonts w:ascii="Times New Roman" w:hAnsi="Times New Roman" w:cs="Times New Roman"/>
          <w:b/>
        </w:rPr>
        <w:t>Section I : Principes généraux</w:t>
      </w:r>
    </w:p>
    <w:p w14:paraId="2DCE5B2F" w14:textId="608CDE2F" w:rsidR="009E18ED" w:rsidRPr="00EA3353" w:rsidRDefault="009E18ED" w:rsidP="00E07AED">
      <w:pPr>
        <w:jc w:val="center"/>
        <w:rPr>
          <w:rFonts w:ascii="Times New Roman" w:hAnsi="Times New Roman" w:cs="Times New Roman"/>
          <w:b/>
        </w:rPr>
      </w:pPr>
      <w:r w:rsidRPr="005C487B">
        <w:rPr>
          <w:rFonts w:ascii="Times New Roman" w:hAnsi="Times New Roman" w:cs="Times New Roman"/>
        </w:rPr>
        <w:t>(rédaction issue de Arrêté n° 1905 CM du 6 octobre 2025)</w:t>
      </w:r>
    </w:p>
    <w:p w14:paraId="131D1CEA" w14:textId="5665DD4F" w:rsidR="00E07AED" w:rsidRPr="00EA3353" w:rsidRDefault="00E07AED" w:rsidP="00E07AED">
      <w:pPr>
        <w:jc w:val="both"/>
        <w:rPr>
          <w:rFonts w:ascii="Times New Roman" w:hAnsi="Times New Roman" w:cs="Times New Roman"/>
          <w:b/>
        </w:rPr>
      </w:pPr>
      <w:r w:rsidRPr="00EA3353">
        <w:rPr>
          <w:rFonts w:ascii="Times New Roman" w:hAnsi="Times New Roman" w:cs="Times New Roman"/>
          <w:b/>
        </w:rPr>
        <w:t>Article A 331-1</w:t>
      </w:r>
      <w:r w:rsidR="009E18ED">
        <w:rPr>
          <w:rFonts w:ascii="Times New Roman" w:hAnsi="Times New Roman" w:cs="Times New Roman"/>
          <w:b/>
        </w:rPr>
        <w:t xml:space="preserve"> </w:t>
      </w:r>
      <w:r w:rsidR="009E18ED" w:rsidRPr="005C487B">
        <w:rPr>
          <w:rFonts w:ascii="Times New Roman" w:hAnsi="Times New Roman" w:cs="Times New Roman"/>
        </w:rPr>
        <w:t>(rédaction issue de Arrêté n° 1905 CM du 6 octobre 2025)</w:t>
      </w:r>
    </w:p>
    <w:p w14:paraId="5EEAF9C6" w14:textId="77777777" w:rsidR="00E07AED" w:rsidRPr="00EA3353" w:rsidRDefault="00E07AED" w:rsidP="00E07AED">
      <w:pPr>
        <w:jc w:val="both"/>
        <w:rPr>
          <w:rFonts w:ascii="Times New Roman" w:hAnsi="Times New Roman" w:cs="Times New Roman"/>
        </w:rPr>
      </w:pPr>
      <w:r w:rsidRPr="00EA3353">
        <w:rPr>
          <w:rFonts w:ascii="Times New Roman" w:hAnsi="Times New Roman" w:cs="Times New Roman"/>
        </w:rPr>
        <w:t>Toute entreprise d'assurance doit, lorsqu'elle sollicite un agrément pour la branche de protection juridique conformément aux dispositions de l’article LP</w:t>
      </w:r>
      <w:r>
        <w:rPr>
          <w:rFonts w:ascii="Times New Roman" w:hAnsi="Times New Roman" w:cs="Times New Roman"/>
        </w:rPr>
        <w:t> </w:t>
      </w:r>
      <w:r w:rsidRPr="00EA3353">
        <w:rPr>
          <w:rFonts w:ascii="Times New Roman" w:hAnsi="Times New Roman" w:cs="Times New Roman"/>
        </w:rPr>
        <w:t>321-1, indiquer, lors de sa demande d’agrément, la modalité de gestion adoptée, parmi celles qui sont énoncées à l'article LP</w:t>
      </w:r>
      <w:r>
        <w:rPr>
          <w:rFonts w:ascii="Times New Roman" w:hAnsi="Times New Roman" w:cs="Times New Roman"/>
        </w:rPr>
        <w:t> </w:t>
      </w:r>
      <w:r w:rsidRPr="00EA3353">
        <w:rPr>
          <w:rFonts w:ascii="Times New Roman" w:hAnsi="Times New Roman" w:cs="Times New Roman"/>
        </w:rPr>
        <w:t>331-5.</w:t>
      </w:r>
    </w:p>
    <w:p w14:paraId="777D06AE" w14:textId="77777777" w:rsidR="00E07AED" w:rsidRPr="00EA3353" w:rsidRDefault="00E07AED" w:rsidP="00E07AED">
      <w:pPr>
        <w:jc w:val="both"/>
        <w:rPr>
          <w:rFonts w:ascii="Times New Roman" w:hAnsi="Times New Roman" w:cs="Times New Roman"/>
        </w:rPr>
      </w:pPr>
      <w:r w:rsidRPr="00EA3353">
        <w:rPr>
          <w:rFonts w:ascii="Times New Roman" w:hAnsi="Times New Roman" w:cs="Times New Roman"/>
        </w:rPr>
        <w:t>Lorsque l'entreprise choisit de confier les sinistres de la branche de protection juridique à une entreprise juridiquement distincte, conformément aux dispositions du troisième alinéa de l'article LP</w:t>
      </w:r>
      <w:r>
        <w:rPr>
          <w:rFonts w:ascii="Times New Roman" w:hAnsi="Times New Roman" w:cs="Times New Roman"/>
        </w:rPr>
        <w:t> </w:t>
      </w:r>
      <w:r w:rsidRPr="00EA3353">
        <w:rPr>
          <w:rFonts w:ascii="Times New Roman" w:hAnsi="Times New Roman" w:cs="Times New Roman"/>
        </w:rPr>
        <w:t xml:space="preserve">331-5, elle doit adresser copie des statuts de cette entreprise au </w:t>
      </w:r>
      <w:r>
        <w:rPr>
          <w:rFonts w:ascii="Times New Roman" w:hAnsi="Times New Roman" w:cs="Times New Roman"/>
        </w:rPr>
        <w:t>p</w:t>
      </w:r>
      <w:r w:rsidRPr="00EA3353">
        <w:rPr>
          <w:rFonts w:ascii="Times New Roman" w:hAnsi="Times New Roman" w:cs="Times New Roman"/>
        </w:rPr>
        <w:t>résident de la Polynésie française.</w:t>
      </w:r>
    </w:p>
    <w:p w14:paraId="127634AE" w14:textId="77777777" w:rsidR="00E07AED" w:rsidRPr="00EA3353" w:rsidRDefault="00E07AED" w:rsidP="00E07AED">
      <w:pPr>
        <w:jc w:val="both"/>
        <w:rPr>
          <w:rFonts w:ascii="Times New Roman" w:hAnsi="Times New Roman" w:cs="Times New Roman"/>
        </w:rPr>
      </w:pPr>
      <w:r w:rsidRPr="00EA3353">
        <w:rPr>
          <w:rFonts w:ascii="Times New Roman" w:hAnsi="Times New Roman" w:cs="Times New Roman"/>
        </w:rPr>
        <w:t>Si cette entreprise juridiquement distincte a des liens de la nature de ceux qui sont définis à l'article LP</w:t>
      </w:r>
      <w:r>
        <w:rPr>
          <w:rFonts w:ascii="Times New Roman" w:hAnsi="Times New Roman" w:cs="Times New Roman"/>
        </w:rPr>
        <w:t> </w:t>
      </w:r>
      <w:r w:rsidRPr="00EA3353">
        <w:rPr>
          <w:rFonts w:ascii="Times New Roman" w:hAnsi="Times New Roman" w:cs="Times New Roman"/>
        </w:rPr>
        <w:t>322-6 avec une autre entreprise qui pratique l'assurance d'une ou plusieurs autres branches mentionnées à l'article DEL 321-1, l'entreprise qui sollicite l'agrément doit s'assurer et, en outre, attester</w:t>
      </w:r>
      <w:r>
        <w:rPr>
          <w:rFonts w:ascii="Times New Roman" w:hAnsi="Times New Roman" w:cs="Times New Roman"/>
        </w:rPr>
        <w:t> </w:t>
      </w:r>
      <w:r w:rsidRPr="00EA3353">
        <w:rPr>
          <w:rFonts w:ascii="Times New Roman" w:hAnsi="Times New Roman" w:cs="Times New Roman"/>
        </w:rPr>
        <w:t>:</w:t>
      </w:r>
    </w:p>
    <w:p w14:paraId="5BCFA73D" w14:textId="77777777" w:rsidR="00E07AED" w:rsidRPr="00EA3353" w:rsidRDefault="00E07AED" w:rsidP="00E07AED">
      <w:pPr>
        <w:jc w:val="both"/>
        <w:rPr>
          <w:rFonts w:ascii="Times New Roman" w:hAnsi="Times New Roman" w:cs="Times New Roman"/>
        </w:rPr>
      </w:pPr>
      <w:r w:rsidRPr="00EA3353">
        <w:rPr>
          <w:rFonts w:ascii="Times New Roman" w:hAnsi="Times New Roman" w:cs="Times New Roman"/>
        </w:rPr>
        <w:t>1° Que les membres de son personnel chargés de la gestion des sinistres ou des conseils juridiques relatifs à cette gestion n'exercent pas la même activité pour le compte de l'autre entreprise ;</w:t>
      </w:r>
    </w:p>
    <w:p w14:paraId="358E7A17" w14:textId="013280A2" w:rsidR="00E07AED" w:rsidRDefault="00E07AED" w:rsidP="00E07AED">
      <w:pPr>
        <w:jc w:val="both"/>
        <w:rPr>
          <w:rFonts w:ascii="Times New Roman" w:hAnsi="Times New Roman" w:cs="Times New Roman"/>
        </w:rPr>
      </w:pPr>
      <w:r w:rsidRPr="00EA3353">
        <w:rPr>
          <w:rFonts w:ascii="Times New Roman" w:hAnsi="Times New Roman" w:cs="Times New Roman"/>
        </w:rPr>
        <w:t>2° Que ses dirigeants ne sont pas aussi des dirigeants de l'autre entreprise.</w:t>
      </w:r>
    </w:p>
    <w:p w14:paraId="35EEA7B6" w14:textId="1CE7F45F" w:rsidR="00E07AED" w:rsidRDefault="00E07AED" w:rsidP="009E18ED">
      <w:pPr>
        <w:spacing w:after="0"/>
        <w:jc w:val="center"/>
        <w:rPr>
          <w:rFonts w:ascii="Times New Roman" w:hAnsi="Times New Roman" w:cs="Times New Roman"/>
          <w:b/>
        </w:rPr>
      </w:pPr>
      <w:r w:rsidRPr="0092062C">
        <w:rPr>
          <w:rFonts w:ascii="Times New Roman" w:hAnsi="Times New Roman" w:cs="Times New Roman"/>
          <w:b/>
        </w:rPr>
        <w:t>CHAPITRE II : DISPOSITIONS SPECIFIQUES AUX ENTREPRISES D’ASSURANCE AYANT LEUR SIEGE SOCIAL EN POLYNESIE FRANCAISE</w:t>
      </w:r>
    </w:p>
    <w:p w14:paraId="09969DBB" w14:textId="722DD1C4" w:rsidR="009E18ED" w:rsidRPr="0092062C" w:rsidRDefault="009E18ED" w:rsidP="00E07AED">
      <w:pPr>
        <w:jc w:val="center"/>
        <w:rPr>
          <w:rFonts w:ascii="Times New Roman" w:hAnsi="Times New Roman" w:cs="Times New Roman"/>
          <w:b/>
        </w:rPr>
      </w:pPr>
      <w:r w:rsidRPr="005C487B">
        <w:rPr>
          <w:rFonts w:ascii="Times New Roman" w:hAnsi="Times New Roman" w:cs="Times New Roman"/>
        </w:rPr>
        <w:t>(rédaction issue de Arrêté n° 1905 CM du 6 octobre 2025)</w:t>
      </w:r>
    </w:p>
    <w:p w14:paraId="0F363440" w14:textId="097D6ABF" w:rsidR="00E07AED" w:rsidRDefault="00E07AED" w:rsidP="004246F7">
      <w:pPr>
        <w:rPr>
          <w:rFonts w:ascii="Times New Roman" w:hAnsi="Times New Roman" w:cs="Times New Roman"/>
        </w:rPr>
      </w:pPr>
      <w:r w:rsidRPr="00457E5B">
        <w:rPr>
          <w:rFonts w:ascii="Times New Roman" w:hAnsi="Times New Roman" w:cs="Times New Roman"/>
        </w:rPr>
        <w:t>Néant</w:t>
      </w:r>
    </w:p>
    <w:p w14:paraId="2D7F2C54" w14:textId="62D54D4E" w:rsidR="00E07AED" w:rsidRDefault="00E07AED" w:rsidP="009E18ED">
      <w:pPr>
        <w:spacing w:after="0"/>
        <w:jc w:val="center"/>
        <w:rPr>
          <w:rFonts w:ascii="Times New Roman" w:hAnsi="Times New Roman" w:cs="Times New Roman"/>
          <w:b/>
        </w:rPr>
      </w:pPr>
      <w:r w:rsidRPr="00170AEB">
        <w:rPr>
          <w:rFonts w:ascii="Times New Roman" w:hAnsi="Times New Roman" w:cs="Times New Roman"/>
          <w:b/>
        </w:rPr>
        <w:t>CHAPITRE III</w:t>
      </w:r>
      <w:r>
        <w:rPr>
          <w:rFonts w:ascii="Times New Roman" w:hAnsi="Times New Roman" w:cs="Times New Roman"/>
          <w:b/>
        </w:rPr>
        <w:t> :</w:t>
      </w:r>
      <w:r w:rsidRPr="009D1F2E">
        <w:t xml:space="preserve"> </w:t>
      </w:r>
      <w:r w:rsidRPr="009D1F2E">
        <w:rPr>
          <w:rFonts w:ascii="Times New Roman" w:hAnsi="Times New Roman" w:cs="Times New Roman"/>
          <w:b/>
        </w:rPr>
        <w:t>DISPOSITIONS SPECIFIQUES AUX ENTREPRISES D’ASSURANCE N’AYANT PAS LEUR SIEGE SOCIAL EN POLYNESIE FRANCAISE</w:t>
      </w:r>
    </w:p>
    <w:p w14:paraId="2C0381FA" w14:textId="2280821B" w:rsidR="009E18ED" w:rsidRDefault="009E18ED" w:rsidP="00E07AED">
      <w:pPr>
        <w:jc w:val="center"/>
        <w:rPr>
          <w:rFonts w:ascii="Times New Roman" w:hAnsi="Times New Roman" w:cs="Times New Roman"/>
          <w:b/>
        </w:rPr>
      </w:pPr>
      <w:r w:rsidRPr="005C487B">
        <w:rPr>
          <w:rFonts w:ascii="Times New Roman" w:hAnsi="Times New Roman" w:cs="Times New Roman"/>
        </w:rPr>
        <w:t>(rédaction issue de Arrêté n° 1905 CM du 6 octobre 2025)</w:t>
      </w:r>
    </w:p>
    <w:p w14:paraId="2A28526A" w14:textId="2B74D517" w:rsidR="00E07AED" w:rsidRPr="004246F7" w:rsidRDefault="00E07AED" w:rsidP="00E07AED">
      <w:pPr>
        <w:rPr>
          <w:rFonts w:ascii="Times New Roman" w:hAnsi="Times New Roman" w:cs="Times New Roman"/>
        </w:rPr>
      </w:pPr>
      <w:r w:rsidRPr="00457E5B">
        <w:rPr>
          <w:rFonts w:ascii="Times New Roman" w:hAnsi="Times New Roman" w:cs="Times New Roman"/>
        </w:rPr>
        <w:t>Néant</w:t>
      </w:r>
    </w:p>
    <w:p w14:paraId="67EE6EBF" w14:textId="370BFAEF" w:rsidR="00E07AED" w:rsidRDefault="00E07AED" w:rsidP="009E18ED">
      <w:pPr>
        <w:spacing w:after="0"/>
        <w:jc w:val="center"/>
        <w:rPr>
          <w:rFonts w:ascii="Times New Roman" w:hAnsi="Times New Roman" w:cs="Times New Roman"/>
          <w:b/>
        </w:rPr>
      </w:pPr>
      <w:r w:rsidRPr="007321FD">
        <w:rPr>
          <w:rFonts w:ascii="Times New Roman" w:hAnsi="Times New Roman" w:cs="Times New Roman"/>
          <w:b/>
        </w:rPr>
        <w:t>CHAPITRE IV : DISPOSITIONS COMPTABLES ET STATISTIQUES</w:t>
      </w:r>
    </w:p>
    <w:p w14:paraId="61A67458" w14:textId="49CA45C9" w:rsidR="009E18ED" w:rsidRPr="007321FD" w:rsidRDefault="009E18ED" w:rsidP="00E07AED">
      <w:pPr>
        <w:jc w:val="center"/>
        <w:rPr>
          <w:rFonts w:ascii="Times New Roman" w:hAnsi="Times New Roman" w:cs="Times New Roman"/>
          <w:b/>
        </w:rPr>
      </w:pPr>
      <w:r w:rsidRPr="005C487B">
        <w:rPr>
          <w:rFonts w:ascii="Times New Roman" w:hAnsi="Times New Roman" w:cs="Times New Roman"/>
        </w:rPr>
        <w:t>(rédaction issue de Arrêté n° 1905 CM du 6 octobre 2025)</w:t>
      </w:r>
    </w:p>
    <w:p w14:paraId="411B75BF" w14:textId="77777777" w:rsidR="00E07AED" w:rsidRPr="007321FD" w:rsidRDefault="00E07AED" w:rsidP="00E07AED">
      <w:pPr>
        <w:jc w:val="both"/>
        <w:rPr>
          <w:rFonts w:ascii="Times New Roman" w:hAnsi="Times New Roman" w:cs="Times New Roman"/>
          <w:b/>
        </w:rPr>
      </w:pPr>
      <w:r w:rsidRPr="007321FD">
        <w:rPr>
          <w:rFonts w:ascii="Times New Roman" w:hAnsi="Times New Roman" w:cs="Times New Roman"/>
          <w:b/>
        </w:rPr>
        <w:t>Article A 334-6</w:t>
      </w:r>
    </w:p>
    <w:p w14:paraId="5580EA7D"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Les opérations effectuées par les entreprises mentionnées à l'article LP</w:t>
      </w:r>
      <w:r>
        <w:rPr>
          <w:rFonts w:ascii="Times New Roman" w:hAnsi="Times New Roman" w:cs="Times New Roman"/>
        </w:rPr>
        <w:t> </w:t>
      </w:r>
      <w:r w:rsidRPr="007321FD">
        <w:rPr>
          <w:rFonts w:ascii="Times New Roman" w:hAnsi="Times New Roman" w:cs="Times New Roman"/>
        </w:rPr>
        <w:t>310-1 du présent code sont réparties entre les catégories d'opérations suivantes :</w:t>
      </w:r>
    </w:p>
    <w:p w14:paraId="4DB0AFE6"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1 Contrats de capitalisation à prime unique (ou versements libres) ;</w:t>
      </w:r>
    </w:p>
    <w:p w14:paraId="0E58F961"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 Contrats de capitalisation à primes périodiques ;</w:t>
      </w:r>
    </w:p>
    <w:p w14:paraId="0663A428"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3 Contrats individuels d'assurance temporaire décès (y compris groupes ouverts) ;</w:t>
      </w:r>
    </w:p>
    <w:p w14:paraId="379D4290"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4 Autres contrats individuels d'assurance vie à prime unique (ou versements libres) (y compris groupes ouverts) ;</w:t>
      </w:r>
    </w:p>
    <w:p w14:paraId="270F5259"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lastRenderedPageBreak/>
        <w:t>5 Autres contrats individuels d'assurance vie à primes périodiques (y compris groupes ouverts) ;</w:t>
      </w:r>
    </w:p>
    <w:p w14:paraId="11D6F77A"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6 Contrats collectifs d'assurance en cas de décès ;</w:t>
      </w:r>
    </w:p>
    <w:p w14:paraId="7EE0C04F"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7 Contrats collectifs d'assurance en cas de vie ;</w:t>
      </w:r>
    </w:p>
    <w:p w14:paraId="0F3E915C"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8 Contrats d'assurance vie ou de capitalisation en unités de compte à prime unique (ou versements libres)</w:t>
      </w:r>
      <w:r>
        <w:rPr>
          <w:rFonts w:ascii="Times New Roman" w:hAnsi="Times New Roman" w:cs="Times New Roman"/>
        </w:rPr>
        <w:t> </w:t>
      </w:r>
      <w:r w:rsidRPr="007321FD">
        <w:rPr>
          <w:rFonts w:ascii="Times New Roman" w:hAnsi="Times New Roman" w:cs="Times New Roman"/>
        </w:rPr>
        <w:t>;</w:t>
      </w:r>
    </w:p>
    <w:p w14:paraId="6E5B373B"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9 Contrats d'assurance vie ou de capitalisation en unités de compte à primes périodiques ;</w:t>
      </w:r>
    </w:p>
    <w:p w14:paraId="3C62D735"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19 Acceptations en réassurance (vie) ;</w:t>
      </w:r>
    </w:p>
    <w:p w14:paraId="36E6E100"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20 Dommages corporels (contrats individuels) (y compris garanties accessoires aux contrats d'assurance vie individuels) ;</w:t>
      </w:r>
    </w:p>
    <w:p w14:paraId="5252812F"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21 Dommages corporels (contrats collectifs) (y compris garanties accessoires aux contrats d'assurance vie collectifs) ;</w:t>
      </w:r>
    </w:p>
    <w:p w14:paraId="4232CD27"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22 Automobile (responsabilité civile) ;</w:t>
      </w:r>
    </w:p>
    <w:p w14:paraId="31F52C48"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23 Automobile (dommages) ;</w:t>
      </w:r>
    </w:p>
    <w:p w14:paraId="25B09B34"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24 Dommages aux biens des particuliers ;</w:t>
      </w:r>
    </w:p>
    <w:p w14:paraId="033ED397"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25 Dommages aux biens professionnels ;</w:t>
      </w:r>
    </w:p>
    <w:p w14:paraId="1C47F617"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26 Dommages aux biens agricoles ;</w:t>
      </w:r>
    </w:p>
    <w:p w14:paraId="0FB8869C"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28 Responsabilité civile générale ;</w:t>
      </w:r>
    </w:p>
    <w:p w14:paraId="3510C645"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29 Protection juridique ;</w:t>
      </w:r>
    </w:p>
    <w:p w14:paraId="5F93165D"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30 Assistance ;</w:t>
      </w:r>
    </w:p>
    <w:p w14:paraId="28CDCAB3"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31 Pertes pécuniaires diverses ;</w:t>
      </w:r>
    </w:p>
    <w:p w14:paraId="79E5F17E"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34 Transports ;</w:t>
      </w:r>
    </w:p>
    <w:p w14:paraId="056E5F05"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35 Assurance construction (dommages) ;</w:t>
      </w:r>
    </w:p>
    <w:p w14:paraId="763FFA2F"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36 Assurance construction (responsabilité civile) ;</w:t>
      </w:r>
    </w:p>
    <w:p w14:paraId="0F6DE632"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37 Crédit ;</w:t>
      </w:r>
    </w:p>
    <w:p w14:paraId="0624CF3B"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38 Caution ;</w:t>
      </w:r>
    </w:p>
    <w:p w14:paraId="4D2EAD5A"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39 Acceptations en réassurance (non-vie).</w:t>
      </w:r>
    </w:p>
    <w:p w14:paraId="12BD21E7" w14:textId="77777777" w:rsidR="00E07AED" w:rsidRPr="007321FD" w:rsidRDefault="00E07AED" w:rsidP="00E07AED">
      <w:pPr>
        <w:jc w:val="both"/>
        <w:rPr>
          <w:rFonts w:ascii="Times New Roman" w:hAnsi="Times New Roman" w:cs="Times New Roman"/>
        </w:rPr>
      </w:pPr>
      <w:r w:rsidRPr="007321FD">
        <w:rPr>
          <w:rFonts w:ascii="Times New Roman" w:hAnsi="Times New Roman" w:cs="Times New Roman"/>
        </w:rPr>
        <w:t xml:space="preserve">Lorsqu'un contrat couvre plusieurs catégories d’opérations, il est rattaché en totalité à la catégorie la plus importante, le critère d’appréciation étant en principe la charge habituelle de prestations. </w:t>
      </w:r>
    </w:p>
    <w:p w14:paraId="611E12CF" w14:textId="3C1F9F12" w:rsidR="004A13D5" w:rsidRDefault="00E07AED" w:rsidP="009E18ED">
      <w:pPr>
        <w:jc w:val="both"/>
        <w:rPr>
          <w:rFonts w:ascii="Times New Roman" w:hAnsi="Times New Roman" w:cs="Times New Roman"/>
        </w:rPr>
      </w:pPr>
      <w:r w:rsidRPr="007321FD">
        <w:rPr>
          <w:rFonts w:ascii="Times New Roman" w:hAnsi="Times New Roman" w:cs="Times New Roman"/>
        </w:rPr>
        <w:t>Les entreprises qui pratiquent plusieurs catégories d'opérations doivent, dans leur comptabilité, ventiler par exercice et par catégorie les éléments suivants de leurs affaires brutes de cessions et de leurs affaires cédées : primes, sinistres, commissions, provisions techniques.</w:t>
      </w:r>
    </w:p>
    <w:p w14:paraId="24265137" w14:textId="7D9FFAFD" w:rsidR="004246F7" w:rsidRDefault="004246F7" w:rsidP="009E18ED">
      <w:pPr>
        <w:jc w:val="both"/>
        <w:rPr>
          <w:rFonts w:ascii="Times New Roman" w:hAnsi="Times New Roman" w:cs="Times New Roman"/>
        </w:rPr>
      </w:pPr>
    </w:p>
    <w:p w14:paraId="5B7AC417" w14:textId="77777777" w:rsidR="00F24BB4" w:rsidRDefault="00F24BB4" w:rsidP="00F24BB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sz w:val="24"/>
        </w:rPr>
      </w:pPr>
      <w:r>
        <w:rPr>
          <w:rFonts w:ascii="Times New Roman" w:hAnsi="Times New Roman" w:cs="Times New Roman"/>
        </w:rPr>
        <w:br w:type="page"/>
      </w:r>
    </w:p>
    <w:p w14:paraId="0F1FF1E4" w14:textId="666DE5AF" w:rsidR="00FE2714" w:rsidRDefault="00FE2714" w:rsidP="00FE2714">
      <w:pPr>
        <w:spacing w:after="0"/>
        <w:jc w:val="center"/>
        <w:rPr>
          <w:rFonts w:ascii="Times New Roman" w:hAnsi="Times New Roman" w:cs="Times New Roman"/>
          <w:b/>
        </w:rPr>
      </w:pPr>
      <w:r w:rsidRPr="00FE2714">
        <w:rPr>
          <w:rFonts w:ascii="Times New Roman" w:hAnsi="Times New Roman" w:cs="Times New Roman"/>
          <w:b/>
        </w:rPr>
        <w:lastRenderedPageBreak/>
        <w:t>LIVRE V : DISTRIBUTEURS D’ASSURANCES</w:t>
      </w:r>
    </w:p>
    <w:p w14:paraId="2111501B" w14:textId="41F654DA" w:rsidR="00FE2714" w:rsidRPr="00FE2714" w:rsidRDefault="00FE2714" w:rsidP="00FE2714">
      <w:pPr>
        <w:spacing w:after="0"/>
        <w:jc w:val="center"/>
        <w:rPr>
          <w:rFonts w:ascii="Times New Roman" w:hAnsi="Times New Roman" w:cs="Times New Roman"/>
        </w:rPr>
      </w:pPr>
      <w:bookmarkStart w:id="14" w:name="_Hlk211595767"/>
      <w:r w:rsidRPr="00FE2714">
        <w:rPr>
          <w:rFonts w:ascii="Times New Roman" w:hAnsi="Times New Roman" w:cs="Times New Roman"/>
        </w:rPr>
        <w:t>(rédaction issue de Arrêté n° 1</w:t>
      </w:r>
      <w:r>
        <w:rPr>
          <w:rFonts w:ascii="Times New Roman" w:hAnsi="Times New Roman" w:cs="Times New Roman"/>
        </w:rPr>
        <w:t>54</w:t>
      </w:r>
      <w:r w:rsidRPr="00FE2714">
        <w:rPr>
          <w:rFonts w:ascii="Times New Roman" w:hAnsi="Times New Roman" w:cs="Times New Roman"/>
        </w:rPr>
        <w:t xml:space="preserve">5 CM du </w:t>
      </w:r>
      <w:r>
        <w:rPr>
          <w:rFonts w:ascii="Times New Roman" w:hAnsi="Times New Roman" w:cs="Times New Roman"/>
        </w:rPr>
        <w:t>18 août</w:t>
      </w:r>
      <w:r w:rsidRPr="00FE2714">
        <w:rPr>
          <w:rFonts w:ascii="Times New Roman" w:hAnsi="Times New Roman" w:cs="Times New Roman"/>
        </w:rPr>
        <w:t xml:space="preserve"> 2025)</w:t>
      </w:r>
    </w:p>
    <w:bookmarkEnd w:id="14"/>
    <w:p w14:paraId="5F7F822A" w14:textId="77777777" w:rsidR="00FE2714" w:rsidRPr="00FE2714" w:rsidRDefault="00FE2714" w:rsidP="00FE2714">
      <w:pPr>
        <w:spacing w:after="0"/>
        <w:jc w:val="center"/>
        <w:rPr>
          <w:rFonts w:ascii="Times New Roman" w:hAnsi="Times New Roman" w:cs="Times New Roman"/>
          <w:b/>
        </w:rPr>
      </w:pPr>
    </w:p>
    <w:p w14:paraId="578F684E" w14:textId="2A9110FB" w:rsidR="00FE2714" w:rsidRDefault="00FE2714" w:rsidP="00FE2714">
      <w:pPr>
        <w:spacing w:after="0"/>
        <w:jc w:val="center"/>
        <w:rPr>
          <w:rFonts w:ascii="Times New Roman" w:hAnsi="Times New Roman" w:cs="Times New Roman"/>
          <w:b/>
        </w:rPr>
      </w:pPr>
      <w:r w:rsidRPr="00FE2714">
        <w:rPr>
          <w:rFonts w:ascii="Times New Roman" w:hAnsi="Times New Roman" w:cs="Times New Roman"/>
          <w:b/>
        </w:rPr>
        <w:t>TITRE IER : DISTRIBUTION D’ASSURANCES</w:t>
      </w:r>
    </w:p>
    <w:p w14:paraId="3B18F5B0" w14:textId="77777777" w:rsidR="00714020" w:rsidRPr="00FE2714" w:rsidRDefault="00714020" w:rsidP="00714020">
      <w:pPr>
        <w:spacing w:after="0"/>
        <w:jc w:val="center"/>
        <w:rPr>
          <w:rFonts w:ascii="Times New Roman" w:hAnsi="Times New Roman" w:cs="Times New Roman"/>
        </w:rPr>
      </w:pPr>
      <w:r w:rsidRPr="00FE2714">
        <w:rPr>
          <w:rFonts w:ascii="Times New Roman" w:hAnsi="Times New Roman" w:cs="Times New Roman"/>
        </w:rPr>
        <w:t>(rédaction issue de Arrêté n° 1</w:t>
      </w:r>
      <w:r>
        <w:rPr>
          <w:rFonts w:ascii="Times New Roman" w:hAnsi="Times New Roman" w:cs="Times New Roman"/>
        </w:rPr>
        <w:t>54</w:t>
      </w:r>
      <w:r w:rsidRPr="00FE2714">
        <w:rPr>
          <w:rFonts w:ascii="Times New Roman" w:hAnsi="Times New Roman" w:cs="Times New Roman"/>
        </w:rPr>
        <w:t xml:space="preserve">5 CM du </w:t>
      </w:r>
      <w:r>
        <w:rPr>
          <w:rFonts w:ascii="Times New Roman" w:hAnsi="Times New Roman" w:cs="Times New Roman"/>
        </w:rPr>
        <w:t>18 août</w:t>
      </w:r>
      <w:r w:rsidRPr="00FE2714">
        <w:rPr>
          <w:rFonts w:ascii="Times New Roman" w:hAnsi="Times New Roman" w:cs="Times New Roman"/>
        </w:rPr>
        <w:t xml:space="preserve"> 2025)</w:t>
      </w:r>
    </w:p>
    <w:p w14:paraId="1A454993" w14:textId="77777777" w:rsidR="00714020" w:rsidRPr="00FE2714" w:rsidRDefault="00714020" w:rsidP="00FE2714">
      <w:pPr>
        <w:spacing w:after="0"/>
        <w:jc w:val="center"/>
        <w:rPr>
          <w:rFonts w:ascii="Times New Roman" w:hAnsi="Times New Roman" w:cs="Times New Roman"/>
          <w:b/>
        </w:rPr>
      </w:pPr>
    </w:p>
    <w:p w14:paraId="33A1662F" w14:textId="47962F03" w:rsidR="00FE2714" w:rsidRDefault="00FE2714" w:rsidP="0071402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FE2714">
        <w:rPr>
          <w:rFonts w:ascii="Times New Roman" w:hAnsi="Times New Roman" w:cs="Times New Roman"/>
          <w:b/>
          <w:sz w:val="24"/>
          <w:szCs w:val="24"/>
        </w:rPr>
        <w:t>Chapitre Ier : Champ d’application, définitions et exigences professionnelles et organisationnelle</w:t>
      </w:r>
    </w:p>
    <w:p w14:paraId="1077AD4A" w14:textId="7C776B63" w:rsidR="00714020" w:rsidRDefault="00714020" w:rsidP="00714020">
      <w:pPr>
        <w:spacing w:after="0"/>
        <w:jc w:val="center"/>
        <w:rPr>
          <w:rFonts w:ascii="Times New Roman" w:hAnsi="Times New Roman" w:cs="Times New Roman"/>
        </w:rPr>
      </w:pPr>
      <w:r w:rsidRPr="00FE2714">
        <w:rPr>
          <w:rFonts w:ascii="Times New Roman" w:hAnsi="Times New Roman" w:cs="Times New Roman"/>
        </w:rPr>
        <w:t>(rédaction issue de Arrêté n° 1</w:t>
      </w:r>
      <w:r>
        <w:rPr>
          <w:rFonts w:ascii="Times New Roman" w:hAnsi="Times New Roman" w:cs="Times New Roman"/>
        </w:rPr>
        <w:t>54</w:t>
      </w:r>
      <w:r w:rsidRPr="00FE2714">
        <w:rPr>
          <w:rFonts w:ascii="Times New Roman" w:hAnsi="Times New Roman" w:cs="Times New Roman"/>
        </w:rPr>
        <w:t xml:space="preserve">5 CM du </w:t>
      </w:r>
      <w:r>
        <w:rPr>
          <w:rFonts w:ascii="Times New Roman" w:hAnsi="Times New Roman" w:cs="Times New Roman"/>
        </w:rPr>
        <w:t>18 août</w:t>
      </w:r>
      <w:r w:rsidRPr="00FE2714">
        <w:rPr>
          <w:rFonts w:ascii="Times New Roman" w:hAnsi="Times New Roman" w:cs="Times New Roman"/>
        </w:rPr>
        <w:t xml:space="preserve"> 2025)</w:t>
      </w:r>
    </w:p>
    <w:p w14:paraId="4FFAD5AE" w14:textId="77777777" w:rsidR="00E401E2" w:rsidRPr="00FE2714" w:rsidRDefault="00E401E2" w:rsidP="00E401E2">
      <w:pPr>
        <w:spacing w:after="0"/>
        <w:jc w:val="center"/>
        <w:rPr>
          <w:rFonts w:ascii="Times New Roman" w:hAnsi="Times New Roman" w:cs="Times New Roman"/>
          <w:b/>
        </w:rPr>
      </w:pPr>
    </w:p>
    <w:p w14:paraId="6231F971" w14:textId="448850F9" w:rsidR="00714020" w:rsidRDefault="00FE2714" w:rsidP="0071402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FE2714">
        <w:rPr>
          <w:rFonts w:ascii="Times New Roman" w:hAnsi="Times New Roman" w:cs="Times New Roman"/>
          <w:b/>
          <w:sz w:val="24"/>
          <w:szCs w:val="24"/>
        </w:rPr>
        <w:t>Section I : Cha</w:t>
      </w:r>
      <w:r w:rsidR="00714020" w:rsidRPr="00FE2714">
        <w:rPr>
          <w:rFonts w:ascii="Times New Roman" w:hAnsi="Times New Roman" w:cs="Times New Roman"/>
          <w:b/>
          <w:sz w:val="24"/>
          <w:szCs w:val="24"/>
        </w:rPr>
        <w:t>mp d’application</w:t>
      </w:r>
    </w:p>
    <w:p w14:paraId="2D2CBC04" w14:textId="7491DCB7" w:rsidR="00FE2714" w:rsidRDefault="00714020" w:rsidP="00E401E2">
      <w:pPr>
        <w:spacing w:after="0"/>
        <w:jc w:val="center"/>
        <w:rPr>
          <w:rFonts w:ascii="Times New Roman" w:hAnsi="Times New Roman" w:cs="Times New Roman"/>
        </w:rPr>
      </w:pPr>
      <w:bookmarkStart w:id="15" w:name="_Hlk211595851"/>
      <w:r w:rsidRPr="00FE2714">
        <w:rPr>
          <w:rFonts w:ascii="Times New Roman" w:hAnsi="Times New Roman" w:cs="Times New Roman"/>
        </w:rPr>
        <w:t xml:space="preserve"> (rédaction issue de Arrêté n° 1</w:t>
      </w:r>
      <w:r>
        <w:rPr>
          <w:rFonts w:ascii="Times New Roman" w:hAnsi="Times New Roman" w:cs="Times New Roman"/>
        </w:rPr>
        <w:t>54</w:t>
      </w:r>
      <w:r w:rsidRPr="00FE2714">
        <w:rPr>
          <w:rFonts w:ascii="Times New Roman" w:hAnsi="Times New Roman" w:cs="Times New Roman"/>
        </w:rPr>
        <w:t xml:space="preserve">5 CM du </w:t>
      </w:r>
      <w:r>
        <w:rPr>
          <w:rFonts w:ascii="Times New Roman" w:hAnsi="Times New Roman" w:cs="Times New Roman"/>
        </w:rPr>
        <w:t>18 août</w:t>
      </w:r>
      <w:r w:rsidRPr="00FE2714">
        <w:rPr>
          <w:rFonts w:ascii="Times New Roman" w:hAnsi="Times New Roman" w:cs="Times New Roman"/>
        </w:rPr>
        <w:t xml:space="preserve"> 2025)</w:t>
      </w:r>
    </w:p>
    <w:p w14:paraId="1ACD43DB" w14:textId="77777777" w:rsidR="00E401E2" w:rsidRPr="00E401E2" w:rsidRDefault="00E401E2" w:rsidP="00E401E2">
      <w:pPr>
        <w:spacing w:after="0"/>
        <w:jc w:val="center"/>
        <w:rPr>
          <w:rFonts w:ascii="Times New Roman" w:hAnsi="Times New Roman" w:cs="Times New Roman"/>
        </w:rPr>
      </w:pPr>
    </w:p>
    <w:bookmarkEnd w:id="15"/>
    <w:p w14:paraId="2835A49F" w14:textId="43D8F092" w:rsidR="00FE2714" w:rsidRPr="00E401E2"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E401E2">
        <w:rPr>
          <w:rFonts w:ascii="Times New Roman" w:hAnsi="Times New Roman" w:cs="Times New Roman"/>
          <w:b/>
          <w:sz w:val="24"/>
          <w:szCs w:val="24"/>
        </w:rPr>
        <w:t xml:space="preserve">Article A. 511-1 </w:t>
      </w:r>
      <w:r w:rsidR="00E401E2" w:rsidRPr="00E401E2">
        <w:rPr>
          <w:rFonts w:ascii="Times New Roman" w:hAnsi="Times New Roman" w:cs="Times New Roman"/>
          <w:b/>
          <w:sz w:val="24"/>
          <w:szCs w:val="24"/>
        </w:rPr>
        <w:t xml:space="preserve"> </w:t>
      </w:r>
      <w:bookmarkStart w:id="16" w:name="_Hlk211595878"/>
      <w:r w:rsidR="00E401E2" w:rsidRPr="00E401E2">
        <w:rPr>
          <w:rFonts w:ascii="Times New Roman" w:hAnsi="Times New Roman" w:cs="Times New Roman"/>
          <w:sz w:val="24"/>
          <w:szCs w:val="24"/>
        </w:rPr>
        <w:t>(rédaction issue de Arrêté n° 1545 CM du 18 août 2025)</w:t>
      </w:r>
      <w:bookmarkEnd w:id="16"/>
    </w:p>
    <w:p w14:paraId="2CF91FF6"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 montant de la prime annuelle visé à l’article LP 511-4 est de 2 000 000 F CFP.</w:t>
      </w:r>
    </w:p>
    <w:p w14:paraId="6C4BDCAF" w14:textId="77777777" w:rsidR="00FE2714" w:rsidRPr="00E401E2"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b/>
          <w:sz w:val="24"/>
          <w:szCs w:val="24"/>
        </w:rPr>
      </w:pPr>
      <w:r w:rsidRPr="00E401E2">
        <w:rPr>
          <w:rFonts w:ascii="Times New Roman" w:hAnsi="Times New Roman" w:cs="Times New Roman"/>
          <w:b/>
          <w:sz w:val="24"/>
          <w:szCs w:val="24"/>
        </w:rPr>
        <w:t>Section II : Exigences professionnelles</w:t>
      </w:r>
    </w:p>
    <w:p w14:paraId="355E07E2" w14:textId="1E424014" w:rsidR="00FE2714" w:rsidRPr="00E401E2"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b/>
          <w:sz w:val="24"/>
          <w:szCs w:val="24"/>
        </w:rPr>
      </w:pPr>
      <w:r w:rsidRPr="00E401E2">
        <w:rPr>
          <w:rFonts w:ascii="Times New Roman" w:hAnsi="Times New Roman" w:cs="Times New Roman"/>
          <w:b/>
          <w:sz w:val="24"/>
          <w:szCs w:val="24"/>
        </w:rPr>
        <w:t xml:space="preserve">Article A 511-2 </w:t>
      </w:r>
      <w:r w:rsidR="00E401E2" w:rsidRPr="00E401E2">
        <w:rPr>
          <w:rFonts w:ascii="Times New Roman" w:hAnsi="Times New Roman" w:cs="Times New Roman"/>
          <w:sz w:val="24"/>
          <w:szCs w:val="24"/>
        </w:rPr>
        <w:t>(rédaction issue de Arrêté n° 1545 CM du 18 août 2025)</w:t>
      </w:r>
    </w:p>
    <w:p w14:paraId="73612890"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La durée consacrée à la formation ou au développement professionnels continus mentionnés au II de l’article LP 511-5 ne peut être inférieure à sept heures par an.</w:t>
      </w:r>
    </w:p>
    <w:p w14:paraId="715E16B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 La formation ou le développement professionnels continus mentionnés au I peuvent donner lieu à des prestations dispensées en présentiel ou à distance, organisées en une ou plusieurs séquences, consécutives ou non. Ils peuvent être assurés par un organisme de formation, une entreprise d’assurance, un intermédiaire d’assurance, un établissement de crédit ou une société de financement. Ils doivent permettre d’actualiser régulièrement les compétences nécessaires à l’exercice des fonctions occupées.</w:t>
      </w:r>
    </w:p>
    <w:p w14:paraId="419B6FBC"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La liste des compétences susmentionnées, en fonction de la nature des produits distribués, des modes de distribution et des fonctions exercées, ainsi que le contenu et les caractéristiques des actions de formation ou de développement professionnel continus correspondantes est fixée à l’annexe 5.1 du présent code.</w:t>
      </w:r>
    </w:p>
    <w:p w14:paraId="031A4AC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Les entreprises d’assurance et les intermédiaires d’assurance doivent être en mesure de produire, d’une part, pour eux-mêmes et pour tout membre de leur personnel concerné par les dispositions susmentionnées, la liste des formations suivies au titre du présent article, y compris lorsqu’elles ont été réalisées en application d’autres obligations réglementaires, d’autre part, pour chacune de ces formations, le nom de l’entité ayant délivré la formation, la date, la durée et les modalités de celle-ci ainsi que les thèmes traités.</w:t>
      </w:r>
    </w:p>
    <w:p w14:paraId="34A0F55A" w14:textId="6EA0F403"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p>
    <w:p w14:paraId="6FA49CA0" w14:textId="77777777" w:rsidR="00E401E2" w:rsidRPr="00E401E2" w:rsidRDefault="00FE2714" w:rsidP="00E401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E401E2">
        <w:rPr>
          <w:rFonts w:ascii="Times New Roman" w:hAnsi="Times New Roman" w:cs="Times New Roman"/>
          <w:b/>
          <w:sz w:val="24"/>
          <w:szCs w:val="24"/>
        </w:rPr>
        <w:t>Chapitre II : Principes généraux relatifs à l’intermédiation d’assurance</w:t>
      </w:r>
    </w:p>
    <w:p w14:paraId="1DF1415C" w14:textId="29D87245" w:rsidR="00FE2714" w:rsidRPr="00E401E2" w:rsidRDefault="00E401E2" w:rsidP="00E401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4B651AB9" w14:textId="77777777" w:rsidR="00FE2714" w:rsidRPr="00E401E2" w:rsidRDefault="00FE2714" w:rsidP="00E401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E401E2">
        <w:rPr>
          <w:rFonts w:ascii="Times New Roman" w:hAnsi="Times New Roman" w:cs="Times New Roman"/>
          <w:b/>
          <w:sz w:val="24"/>
          <w:szCs w:val="24"/>
        </w:rPr>
        <w:t>Section I : Obligation d’immatriculation</w:t>
      </w:r>
    </w:p>
    <w:p w14:paraId="00BEFCCF" w14:textId="2C3E89F6" w:rsidR="00FE2714" w:rsidRPr="00E401E2" w:rsidRDefault="00FE2714" w:rsidP="00E401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imes New Roman" w:hAnsi="Times New Roman" w:cs="Times New Roman"/>
          <w:b/>
          <w:sz w:val="24"/>
          <w:szCs w:val="24"/>
        </w:rPr>
      </w:pPr>
      <w:r w:rsidRPr="00E401E2">
        <w:rPr>
          <w:rFonts w:ascii="Times New Roman" w:hAnsi="Times New Roman" w:cs="Times New Roman"/>
          <w:b/>
          <w:sz w:val="24"/>
          <w:szCs w:val="24"/>
        </w:rPr>
        <w:t>Article A 512-1</w:t>
      </w:r>
      <w:r w:rsidR="00E401E2">
        <w:rPr>
          <w:rFonts w:ascii="Times New Roman" w:hAnsi="Times New Roman" w:cs="Times New Roman"/>
          <w:b/>
          <w:sz w:val="24"/>
          <w:szCs w:val="24"/>
        </w:rPr>
        <w:t xml:space="preserve"> </w:t>
      </w:r>
      <w:r w:rsidR="00E401E2" w:rsidRPr="00E401E2">
        <w:rPr>
          <w:rFonts w:ascii="Times New Roman" w:hAnsi="Times New Roman" w:cs="Times New Roman"/>
          <w:sz w:val="24"/>
          <w:szCs w:val="24"/>
        </w:rPr>
        <w:t>(rédaction issue de Arrêté n° 1545 CM du 18 août 2025)</w:t>
      </w:r>
    </w:p>
    <w:p w14:paraId="39F53D4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Le registre unique des intermédiaires mentionné à l’article LP 512-1 est tenu et mis à jour de façon permanente.</w:t>
      </w:r>
    </w:p>
    <w:p w14:paraId="103BDF54" w14:textId="797092BF" w:rsidR="00FE2714" w:rsidRPr="00E401E2" w:rsidRDefault="00FE2714" w:rsidP="00E401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imes New Roman" w:hAnsi="Times New Roman" w:cs="Times New Roman"/>
          <w:sz w:val="24"/>
          <w:szCs w:val="24"/>
        </w:rPr>
      </w:pPr>
      <w:r w:rsidRPr="00E401E2">
        <w:rPr>
          <w:rFonts w:ascii="Times New Roman" w:hAnsi="Times New Roman" w:cs="Times New Roman"/>
          <w:b/>
          <w:sz w:val="24"/>
          <w:szCs w:val="24"/>
        </w:rPr>
        <w:t xml:space="preserve">Article A 512-2 </w:t>
      </w:r>
      <w:r w:rsidR="00E401E2" w:rsidRPr="00E401E2">
        <w:rPr>
          <w:rFonts w:ascii="Times New Roman" w:hAnsi="Times New Roman" w:cs="Times New Roman"/>
          <w:sz w:val="24"/>
          <w:szCs w:val="24"/>
        </w:rPr>
        <w:t>(rédaction issue de Arrêté n° 1545 CM du 18 août 2025)</w:t>
      </w:r>
    </w:p>
    <w:p w14:paraId="63F349F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Chaque intermédiaire demande son immatriculation sur le registre des intermédiaires d’assurance et son inscription pour la ou les catégories d’intermédiaires au titre de laquelle ou desquelles il exerce. Il constitue à cet effet un dossier, justifiant de la réunion des conditions d’accès aux activités en cause, dont le contenu est fixé par l’article A 512-3.</w:t>
      </w:r>
    </w:p>
    <w:p w14:paraId="076A831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Pour les intermédiaires mentionnés aux 2°, 3° et 4° du I de l’article LP 511-3, les formalités d’immatriculation prescrites au précédent alinéa peuvent être accomplies par la personne physique ou par la personne morale qui leur a délivré un mandat.</w:t>
      </w:r>
    </w:p>
    <w:p w14:paraId="1C34FAAE" w14:textId="10824998" w:rsidR="00FE2714" w:rsidRPr="00E401E2" w:rsidRDefault="00FE2714" w:rsidP="00E401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imes New Roman" w:hAnsi="Times New Roman" w:cs="Times New Roman"/>
          <w:sz w:val="24"/>
          <w:szCs w:val="24"/>
        </w:rPr>
      </w:pPr>
      <w:r w:rsidRPr="00E401E2">
        <w:rPr>
          <w:rFonts w:ascii="Times New Roman" w:hAnsi="Times New Roman" w:cs="Times New Roman"/>
          <w:b/>
          <w:sz w:val="24"/>
          <w:szCs w:val="24"/>
        </w:rPr>
        <w:t>Article A 512-3</w:t>
      </w:r>
      <w:r w:rsidR="00E401E2">
        <w:rPr>
          <w:rFonts w:ascii="Times New Roman" w:hAnsi="Times New Roman" w:cs="Times New Roman"/>
          <w:b/>
          <w:sz w:val="24"/>
          <w:szCs w:val="24"/>
        </w:rPr>
        <w:t xml:space="preserve"> </w:t>
      </w:r>
      <w:r w:rsidR="00E401E2" w:rsidRPr="00E401E2">
        <w:rPr>
          <w:rFonts w:ascii="Times New Roman" w:hAnsi="Times New Roman" w:cs="Times New Roman"/>
          <w:sz w:val="24"/>
          <w:szCs w:val="24"/>
        </w:rPr>
        <w:t>(rédaction issue de Arrêté n° 1545 CM du 18 août 2025)</w:t>
      </w:r>
    </w:p>
    <w:p w14:paraId="3781A47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Le dossier mentionné à l’article A. 512-2 comprend :</w:t>
      </w:r>
    </w:p>
    <w:p w14:paraId="038EB54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 Lorsque le demandeur est une personne physique :</w:t>
      </w:r>
    </w:p>
    <w:p w14:paraId="14CE4FE6"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w:t>
      </w:r>
      <w:r w:rsidRPr="00FE2714">
        <w:rPr>
          <w:rFonts w:ascii="Times New Roman" w:hAnsi="Times New Roman" w:cs="Times New Roman"/>
          <w:sz w:val="24"/>
          <w:szCs w:val="24"/>
        </w:rPr>
        <w:tab/>
        <w:t>Son identité ;</w:t>
      </w:r>
    </w:p>
    <w:p w14:paraId="49DBE6D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b)</w:t>
      </w:r>
      <w:r w:rsidRPr="00FE2714">
        <w:rPr>
          <w:rFonts w:ascii="Times New Roman" w:hAnsi="Times New Roman" w:cs="Times New Roman"/>
          <w:sz w:val="24"/>
          <w:szCs w:val="24"/>
        </w:rPr>
        <w:tab/>
        <w:t>L’adresse de l’établissement où est exercée l’activité professionnelle, à défaut, l’adresse du local d’habitation où l’entreprise est fixée et, le cas échéant, son enseigne et son nom commercial ;</w:t>
      </w:r>
    </w:p>
    <w:p w14:paraId="1434DB5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c)</w:t>
      </w:r>
      <w:r w:rsidRPr="00FE2714">
        <w:rPr>
          <w:rFonts w:ascii="Times New Roman" w:hAnsi="Times New Roman" w:cs="Times New Roman"/>
          <w:sz w:val="24"/>
          <w:szCs w:val="24"/>
        </w:rPr>
        <w:tab/>
        <w:t>Lorsque le demandeur n’est pas inscrit au registre du commerce et des sociétés, son identité est attestée par une copie de la carte d’identité ou du passeport.</w:t>
      </w:r>
    </w:p>
    <w:p w14:paraId="4ACE984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2° Lorsque le demandeur est une personne morale :</w:t>
      </w:r>
    </w:p>
    <w:p w14:paraId="72B3C9A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w:t>
      </w:r>
      <w:r w:rsidRPr="00FE2714">
        <w:rPr>
          <w:rFonts w:ascii="Times New Roman" w:hAnsi="Times New Roman" w:cs="Times New Roman"/>
          <w:sz w:val="24"/>
          <w:szCs w:val="24"/>
        </w:rPr>
        <w:tab/>
        <w:t>L’identité des personnes qui la dirigent et la gèrent ainsi que, lorsque l’activité faisant l’objet de l’inscription est exercée à titre accessoire à leur activité principale, l’identité de la ou des personnes au sein de la direction à laquelle ou auxquelles est déléguée la responsabilité de l’activité concernée.</w:t>
      </w:r>
    </w:p>
    <w:p w14:paraId="764D10C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 cas échéant, l’identité de la ou des personnes au sein de la direction à laquelle ou auxquelles est déléguée la responsabilité de l’activité concernée est attestée par une copie de la carte d’identité ou du passeport ;</w:t>
      </w:r>
    </w:p>
    <w:p w14:paraId="05893973"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b)</w:t>
      </w:r>
      <w:r w:rsidRPr="00FE2714">
        <w:rPr>
          <w:rFonts w:ascii="Times New Roman" w:hAnsi="Times New Roman" w:cs="Times New Roman"/>
          <w:sz w:val="24"/>
          <w:szCs w:val="24"/>
        </w:rPr>
        <w:tab/>
        <w:t>L’adresse du siège social ;</w:t>
      </w:r>
    </w:p>
    <w:p w14:paraId="7C6DA93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c)</w:t>
      </w:r>
      <w:r w:rsidRPr="00FE2714">
        <w:rPr>
          <w:rFonts w:ascii="Times New Roman" w:hAnsi="Times New Roman" w:cs="Times New Roman"/>
          <w:sz w:val="24"/>
          <w:szCs w:val="24"/>
        </w:rPr>
        <w:tab/>
        <w:t>La dénomination sociale et, le cas échéant, le sigle, l’enseigne et le nom commercial ;</w:t>
      </w:r>
    </w:p>
    <w:p w14:paraId="1600DAC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3° La forme juridique, le numéro RCS et le numéro TAHITI et :</w:t>
      </w:r>
    </w:p>
    <w:p w14:paraId="39D4CDB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w:t>
      </w:r>
      <w:r w:rsidRPr="00FE2714">
        <w:rPr>
          <w:rFonts w:ascii="Times New Roman" w:hAnsi="Times New Roman" w:cs="Times New Roman"/>
          <w:sz w:val="24"/>
          <w:szCs w:val="24"/>
        </w:rPr>
        <w:tab/>
        <w:t>Lorsque la personne est inscrite au registre du commerce et des sociétés, un extrait d’immatriculation datant de moins de trois mois :</w:t>
      </w:r>
    </w:p>
    <w:p w14:paraId="33E3E64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b)</w:t>
      </w:r>
      <w:r w:rsidRPr="00FE2714">
        <w:rPr>
          <w:rFonts w:ascii="Times New Roman" w:hAnsi="Times New Roman" w:cs="Times New Roman"/>
          <w:sz w:val="24"/>
          <w:szCs w:val="24"/>
        </w:rPr>
        <w:tab/>
        <w:t>Lorsque la personne n’est pas inscrite au registre du commerce et des sociétés, une copie de la carte d’identité ou du passeport attestant l’identité des personnes physiques qui dirigent, gèrent ou administrent et/ ou sont directement responsables de l’activité ;</w:t>
      </w:r>
    </w:p>
    <w:p w14:paraId="4905151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4° La justification de la catégorie dans laquelle l’intermédiaire demande son inscription :</w:t>
      </w:r>
    </w:p>
    <w:p w14:paraId="6308010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a)</w:t>
      </w:r>
      <w:r w:rsidRPr="00FE2714">
        <w:rPr>
          <w:rFonts w:ascii="Times New Roman" w:hAnsi="Times New Roman" w:cs="Times New Roman"/>
          <w:sz w:val="24"/>
          <w:szCs w:val="24"/>
        </w:rPr>
        <w:tab/>
        <w:t>Pour les courtiers et sociétés de courtage, un extrait d’immatriculation au registre du commerce et des sociétés (RCS) datant de moins de trois mois et mentionnant l’activité de courtage d’assurance, établi au nom de l’intéressé si l’activité de courtage est exercée en nom propre et au nom de la société concernée dans le cas contraire ;</w:t>
      </w:r>
    </w:p>
    <w:p w14:paraId="451B6CCA"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b)</w:t>
      </w:r>
      <w:r w:rsidRPr="00FE2714">
        <w:rPr>
          <w:rFonts w:ascii="Times New Roman" w:hAnsi="Times New Roman" w:cs="Times New Roman"/>
          <w:sz w:val="24"/>
          <w:szCs w:val="24"/>
        </w:rPr>
        <w:tab/>
        <w:t>Pour les agents généraux d’assurance, un document attestant l’existence et, le cas échéant, la durée du ou des mandats d’agent général d’assurance ;</w:t>
      </w:r>
    </w:p>
    <w:p w14:paraId="48294AAA"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c)</w:t>
      </w:r>
      <w:r w:rsidRPr="00FE2714">
        <w:rPr>
          <w:rFonts w:ascii="Times New Roman" w:hAnsi="Times New Roman" w:cs="Times New Roman"/>
          <w:sz w:val="24"/>
          <w:szCs w:val="24"/>
        </w:rPr>
        <w:tab/>
        <w:t>Pour les personnes mentionnées aux 3° et 4° de l’article LP 511-3, un document attestant l’existence d’un ou plusieurs mandats ;</w:t>
      </w:r>
    </w:p>
    <w:p w14:paraId="732227F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5° L’indication que l’activité d’intermédiation est exercée à titre principal ou à titre accessoire et, le cas échéant, la nature de l’activité principale ;</w:t>
      </w:r>
    </w:p>
    <w:p w14:paraId="0063D7CC"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6° L’attestation d’assurance de responsabilité civile professionnelle prévue à l’article              A 512-14 ou, pour les intermédiaires visés aux 2°, 3° et 4° de l’article LP 511-3, tout document attestant que l’entière responsabilité des actes de l’intermédiaire est assumée par le ou les mandants dans les conditions prévues au IV de l’article LP 511-1 ;</w:t>
      </w:r>
    </w:p>
    <w:p w14:paraId="115A4EE8"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7° L’attestation de garantie financière prévue à l’article A 512-15 ou, pour les intermédiaires visés aux 2° et 3° de l’article LP 511-3, tout document attestant d’un mandat d’encaissement des primes ou cotisations et, éventuellement, d’un mandat de règlement des sinistres ou, le cas échéant, une déclaration de l’intermédiaire par laquelle celui-ci atteste sur l’honneur ne pas encaisser de fonds ;</w:t>
      </w:r>
    </w:p>
    <w:p w14:paraId="5091CAB0"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8° L’un des documents suivants permettant d’attester du respect des conditions de capacité professionnelle telles que définies à la section II du présent chapitre :</w:t>
      </w:r>
    </w:p>
    <w:p w14:paraId="041990D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w:t>
      </w:r>
      <w:r w:rsidRPr="00FE2714">
        <w:rPr>
          <w:rFonts w:ascii="Times New Roman" w:hAnsi="Times New Roman" w:cs="Times New Roman"/>
          <w:sz w:val="24"/>
          <w:szCs w:val="24"/>
        </w:rPr>
        <w:tab/>
        <w:t>Livret de stage défini à l’article A 512-11 ;</w:t>
      </w:r>
    </w:p>
    <w:p w14:paraId="63D58DE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b)</w:t>
      </w:r>
      <w:r w:rsidRPr="00FE2714">
        <w:rPr>
          <w:rFonts w:ascii="Times New Roman" w:hAnsi="Times New Roman" w:cs="Times New Roman"/>
          <w:sz w:val="24"/>
          <w:szCs w:val="24"/>
        </w:rPr>
        <w:tab/>
        <w:t>Attestation de formation mentionnée à l’article A 512-12 ;</w:t>
      </w:r>
    </w:p>
    <w:p w14:paraId="12B1809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c)</w:t>
      </w:r>
      <w:r w:rsidRPr="00FE2714">
        <w:rPr>
          <w:rFonts w:ascii="Times New Roman" w:hAnsi="Times New Roman" w:cs="Times New Roman"/>
          <w:sz w:val="24"/>
          <w:szCs w:val="24"/>
        </w:rPr>
        <w:tab/>
        <w:t>Attestation de fonctions ;</w:t>
      </w:r>
    </w:p>
    <w:p w14:paraId="3E9E874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d)</w:t>
      </w:r>
      <w:r w:rsidRPr="00FE2714">
        <w:rPr>
          <w:rFonts w:ascii="Times New Roman" w:hAnsi="Times New Roman" w:cs="Times New Roman"/>
          <w:sz w:val="24"/>
          <w:szCs w:val="24"/>
        </w:rPr>
        <w:tab/>
        <w:t>Diplôme, titre ou certificat mentionnés aux articles A 512-9, A 512-10 et A 512-12.</w:t>
      </w:r>
    </w:p>
    <w:p w14:paraId="62B9977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9  Une déclaration sur l’honneur datant de moins de trois mois attestant qu’ils remplissent les conditions mentionnées aux I à V de l’article LP 331-3 du présent code, pour : </w:t>
      </w:r>
    </w:p>
    <w:p w14:paraId="04F5CD04" w14:textId="5657079B"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w:t>
      </w:r>
      <w:r w:rsidRPr="00FE2714">
        <w:rPr>
          <w:rFonts w:ascii="Times New Roman" w:hAnsi="Times New Roman" w:cs="Times New Roman"/>
          <w:sz w:val="24"/>
          <w:szCs w:val="24"/>
        </w:rPr>
        <w:tab/>
        <w:t>les intermédiaires personnes physiques mentionnées aux 1° à 4° du I de l’article LP</w:t>
      </w:r>
      <w:r w:rsidR="00E401E2">
        <w:rPr>
          <w:rFonts w:ascii="Times New Roman" w:hAnsi="Times New Roman" w:cs="Times New Roman"/>
          <w:sz w:val="24"/>
          <w:szCs w:val="24"/>
        </w:rPr>
        <w:t> </w:t>
      </w:r>
      <w:r w:rsidRPr="00FE2714">
        <w:rPr>
          <w:rFonts w:ascii="Times New Roman" w:hAnsi="Times New Roman" w:cs="Times New Roman"/>
          <w:sz w:val="24"/>
          <w:szCs w:val="24"/>
        </w:rPr>
        <w:t>511-</w:t>
      </w:r>
      <w:r w:rsidR="00E401E2">
        <w:rPr>
          <w:rFonts w:ascii="Times New Roman" w:hAnsi="Times New Roman" w:cs="Times New Roman"/>
          <w:sz w:val="24"/>
          <w:szCs w:val="24"/>
        </w:rPr>
        <w:t> </w:t>
      </w:r>
      <w:r w:rsidRPr="00FE2714">
        <w:rPr>
          <w:rFonts w:ascii="Times New Roman" w:hAnsi="Times New Roman" w:cs="Times New Roman"/>
          <w:sz w:val="24"/>
          <w:szCs w:val="24"/>
        </w:rPr>
        <w:t>3 ;</w:t>
      </w:r>
    </w:p>
    <w:p w14:paraId="64C6B8D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w:t>
      </w:r>
      <w:r w:rsidRPr="00FE2714">
        <w:rPr>
          <w:rFonts w:ascii="Times New Roman" w:hAnsi="Times New Roman" w:cs="Times New Roman"/>
          <w:sz w:val="24"/>
          <w:szCs w:val="24"/>
        </w:rPr>
        <w:tab/>
        <w:t>les associés ou tiers qui dirigent et gèrent, au sein des intermédiaires personnes morales mentionnées aux 1° à 4° du I de l’article LP 511-3, l’activité d’intermédiation ;</w:t>
      </w:r>
    </w:p>
    <w:p w14:paraId="36AD03C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w:t>
      </w:r>
      <w:r w:rsidRPr="00FE2714">
        <w:rPr>
          <w:rFonts w:ascii="Times New Roman" w:hAnsi="Times New Roman" w:cs="Times New Roman"/>
          <w:sz w:val="24"/>
          <w:szCs w:val="24"/>
        </w:rPr>
        <w:tab/>
        <w:t>le cas échéant, lorsque l’activité d’intermédiation en assurance est exercée à titre accessoire à leur activité principale, la ou les personnes, au sein de la direction, auxquelles est déléguée la responsabilité de cette activité d’intermédiation ;</w:t>
      </w:r>
    </w:p>
    <w:p w14:paraId="267647E0"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10° Le règlement des frais d’inscription.</w:t>
      </w:r>
    </w:p>
    <w:p w14:paraId="22B035C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Les frais d’inscription sont perçus pour chaque inscription dans l’une des catégories mentionnées aux 1° à 4° de l’article LP 511-3 et leur montant est fixé à 10 000 F CFP, éventuellement augmenté des frais bancaires propres à certaines cartes de paiement.</w:t>
      </w:r>
    </w:p>
    <w:p w14:paraId="5D0B6E6D"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 Toute demande d’inscription fait l’objet d’un accusé de réception.</w:t>
      </w:r>
    </w:p>
    <w:p w14:paraId="1A983DB7"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Lorsqu’une demande est incomplète, le demandeur est invité à produire les pièces et les informations manquantes dans un délai de quinze jours.</w:t>
      </w:r>
    </w:p>
    <w:p w14:paraId="5D84617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A défaut de réception des pièces sollicitées, dans un délai de quinze jours à compter de la demande de l’administration, la demande est classée sans suite. </w:t>
      </w:r>
    </w:p>
    <w:p w14:paraId="3A9BA663" w14:textId="3949DFF4" w:rsidR="00FE2714" w:rsidRPr="00E401E2" w:rsidRDefault="00FE2714" w:rsidP="00E401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imes New Roman" w:hAnsi="Times New Roman" w:cs="Times New Roman"/>
          <w:sz w:val="24"/>
          <w:szCs w:val="24"/>
        </w:rPr>
      </w:pPr>
      <w:r w:rsidRPr="00E401E2">
        <w:rPr>
          <w:rFonts w:ascii="Times New Roman" w:hAnsi="Times New Roman" w:cs="Times New Roman"/>
          <w:b/>
          <w:sz w:val="24"/>
          <w:szCs w:val="24"/>
        </w:rPr>
        <w:t>Article A 512-4</w:t>
      </w:r>
      <w:r w:rsidR="00E401E2">
        <w:rPr>
          <w:rFonts w:ascii="Times New Roman" w:hAnsi="Times New Roman" w:cs="Times New Roman"/>
          <w:b/>
          <w:sz w:val="24"/>
          <w:szCs w:val="24"/>
        </w:rPr>
        <w:t xml:space="preserve"> </w:t>
      </w:r>
      <w:r w:rsidR="00E401E2" w:rsidRPr="00E401E2">
        <w:rPr>
          <w:rFonts w:ascii="Times New Roman" w:hAnsi="Times New Roman" w:cs="Times New Roman"/>
          <w:sz w:val="24"/>
          <w:szCs w:val="24"/>
        </w:rPr>
        <w:t>(rédaction issue de Arrêté n° 1545 CM du 18 août 2025)</w:t>
      </w:r>
    </w:p>
    <w:p w14:paraId="004AF87D"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 En cas de réponse favorable à la demande d’immatriculation, la direction générale des affaires économiques ou l’organisme en charge du registre délivre au demandeur une attestation comportant son numéro d’immatriculation au registre et la date d’enregistrement.</w:t>
      </w:r>
    </w:p>
    <w:p w14:paraId="572B82B0"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 – Lorsque la demande d’inscription satisfait aux dispositions du présent code, la décision d’inscription est notifiée par le Président de la Polynésie française. La décision comporte le numéro d’immatriculation au registre de l’intéressé et la date d’enregistrement.</w:t>
      </w:r>
    </w:p>
    <w:p w14:paraId="3B418B6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III – Lorsqu’il ressort de l’examen du dossier complet que la demande d’inscription ne satisfait pas aux dispositions du présent code, la décision de non-inscription est communiquée au demandeur.</w:t>
      </w:r>
    </w:p>
    <w:p w14:paraId="5C8CF09D" w14:textId="580A6CB5" w:rsidR="00FE2714" w:rsidRPr="00FE2714" w:rsidRDefault="00FE2714" w:rsidP="000F7F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imes New Roman" w:hAnsi="Times New Roman" w:cs="Times New Roman"/>
          <w:sz w:val="24"/>
          <w:szCs w:val="24"/>
        </w:rPr>
      </w:pPr>
      <w:r w:rsidRPr="000F7FE2">
        <w:rPr>
          <w:rFonts w:ascii="Times New Roman" w:hAnsi="Times New Roman" w:cs="Times New Roman"/>
          <w:b/>
          <w:sz w:val="24"/>
          <w:szCs w:val="24"/>
        </w:rPr>
        <w:t>Article A 512-5</w:t>
      </w:r>
      <w:r w:rsidR="000F7FE2">
        <w:rPr>
          <w:rFonts w:ascii="Times New Roman" w:hAnsi="Times New Roman" w:cs="Times New Roman"/>
          <w:sz w:val="24"/>
          <w:szCs w:val="24"/>
        </w:rPr>
        <w:t xml:space="preserve"> </w:t>
      </w:r>
      <w:r w:rsidR="000F7FE2" w:rsidRPr="00E401E2">
        <w:rPr>
          <w:rFonts w:ascii="Times New Roman" w:hAnsi="Times New Roman" w:cs="Times New Roman"/>
          <w:sz w:val="24"/>
          <w:szCs w:val="24"/>
        </w:rPr>
        <w:t>(rédaction issue de Arrêté n° 1545 CM du 18 août 2025)</w:t>
      </w:r>
    </w:p>
    <w:p w14:paraId="25F791DA"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 renouvellement de l’immatriculation, mentionné à l’article LP 512-1, est effectué au 1er mars de chaque année. La demande de renouvellement complète est adressée par l’intermédiaire ou le mandant au moins un mois avant l’expiration de l’immatriculation. Elle est accompagnée des éléments suivants :</w:t>
      </w:r>
    </w:p>
    <w:p w14:paraId="25A3115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 L’identité du demandeur mentionné aux 1° et 2° de l’article A 512-3, son adresse, le cas échéant la forme juridique, la dénomination sociale, le sigle, l’enseigne, le nom commercial ;</w:t>
      </w:r>
    </w:p>
    <w:p w14:paraId="7BDE0D53"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2° Le numéro d’immatriculation et la ou les catégories concernées ;</w:t>
      </w:r>
    </w:p>
    <w:p w14:paraId="10B2229D"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3° Une déclaration sur l’honneur datant de moins de trois mois établie conformément au 9° de l’article A 512-3 ;</w:t>
      </w:r>
    </w:p>
    <w:p w14:paraId="1CE6A57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4° Le cas échéant, l’attestation d’assurance de responsabilité civile prévue à l’article               A 512-14 ;</w:t>
      </w:r>
    </w:p>
    <w:p w14:paraId="5765DA08"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5° Le cas échéant, l’attestation de garantie financière prévue à l’article A 512-15 ;</w:t>
      </w:r>
    </w:p>
    <w:p w14:paraId="796A5A0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6° Le règlement des frais d’inscription.</w:t>
      </w:r>
    </w:p>
    <w:p w14:paraId="000C47FD"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Les frais d’inscription sont perçus pour chaque renouvellement dans l’une des catégories mentionnées aux 1° à 4° de l’article LP 511-3 et leur montant est fixé à 10 000 F CFP, éventuellement augmenté des frais bancaires propres à certaines cartes de paiement.</w:t>
      </w:r>
    </w:p>
    <w:p w14:paraId="72326430" w14:textId="69AEA407" w:rsidR="00FE2714" w:rsidRPr="00FE2714" w:rsidRDefault="00FE2714"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imes New Roman" w:hAnsi="Times New Roman" w:cs="Times New Roman"/>
          <w:sz w:val="24"/>
          <w:szCs w:val="24"/>
        </w:rPr>
      </w:pPr>
      <w:r w:rsidRPr="00C87403">
        <w:rPr>
          <w:rFonts w:ascii="Times New Roman" w:hAnsi="Times New Roman" w:cs="Times New Roman"/>
          <w:b/>
          <w:sz w:val="24"/>
          <w:szCs w:val="24"/>
        </w:rPr>
        <w:t>Article A 512-6</w:t>
      </w:r>
      <w:r w:rsidR="00C87403">
        <w:rPr>
          <w:rFonts w:ascii="Times New Roman" w:hAnsi="Times New Roman" w:cs="Times New Roman"/>
          <w:sz w:val="24"/>
          <w:szCs w:val="24"/>
        </w:rPr>
        <w:t xml:space="preserve"> </w:t>
      </w:r>
      <w:r w:rsidR="00C87403" w:rsidRPr="00E401E2">
        <w:rPr>
          <w:rFonts w:ascii="Times New Roman" w:hAnsi="Times New Roman" w:cs="Times New Roman"/>
          <w:sz w:val="24"/>
          <w:szCs w:val="24"/>
        </w:rPr>
        <w:t>(rédaction issue de Arrêté n° 1545 CM du 18 août 2025)</w:t>
      </w:r>
    </w:p>
    <w:p w14:paraId="123A76E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Le registre mentionné à l’article LP 512-1 comporte les informations suivantes :</w:t>
      </w:r>
    </w:p>
    <w:p w14:paraId="67EF7D83"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 Le numéro d’immatriculation de l’intermédiaire ;</w:t>
      </w:r>
    </w:p>
    <w:p w14:paraId="69AEFA6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2° Dans le cas d’une personne physique, son identité, l’adresse du lieu d’exercice de l’activité professionnelle, la forme juridique, le cas échéant l’enseigne, le nom commercial, le numéro RCS et le numéro TAHITI ;</w:t>
      </w:r>
    </w:p>
    <w:p w14:paraId="78C85BBD"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3° Dans le cas d’une personne morale, l’identité de la personne parmi celles mentionnées au 2° de l’article A 512-3 ou, le cas échéant, l’indication de celle à qui est déléguée la responsabilité de l’activité exercée, ainsi que l’adresse du siège social, la forme juridique, la dénomination sociale et, le cas échéant, le sigle, l’enseigne et le nom commercial, le numéro RCS ainsi que le numéro TAHITI ;</w:t>
      </w:r>
    </w:p>
    <w:p w14:paraId="39744F3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4° Pour les courtiers et sociétés de courtage, le numéro d’immatriculation au registre du commerce et des sociétés (RCS) ;</w:t>
      </w:r>
    </w:p>
    <w:p w14:paraId="3E0F6D4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5° La ou les catégories auxquelles appartient l’intermédiaire en application de l’article LP 511-3 et s’il exerce l’activité d’intermédiation à titre principal ou à titre accessoire à une autre activité professionnelle. Dans ce dernier cas, le registre indique la nature de l’activité principale exercée ;</w:t>
      </w:r>
    </w:p>
    <w:p w14:paraId="70E14D5B"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6° Une mention indiquant si l’intermédiaire d’assurance est autorisé ou non à encaisser des fonds, selon qu’il est couvert par une garantie financière ou un mandat d’encaissement d’une entreprise d’assurance, ou qu’il a déclaré ne pas encaisser de fonds ;</w:t>
      </w:r>
    </w:p>
    <w:p w14:paraId="0E619E36"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7° Le cas échéant, l’indication de l’exercice de l’intermédiation en assurance dans les conditions fixées au I de l’article A 512-12 ;</w:t>
      </w:r>
    </w:p>
    <w:p w14:paraId="51FF44B9"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8° Le cas échéant, le nom et les coordonnées du ou des mandants pour le ou les mandats au titre desquels l’intermédiaire exerce l’activité d’intermédiation.</w:t>
      </w:r>
    </w:p>
    <w:p w14:paraId="48FC5582" w14:textId="44EEEE3B" w:rsidR="00FE2714" w:rsidRPr="00FE2714" w:rsidRDefault="00FE2714"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imes New Roman" w:hAnsi="Times New Roman" w:cs="Times New Roman"/>
          <w:sz w:val="24"/>
          <w:szCs w:val="24"/>
        </w:rPr>
      </w:pPr>
      <w:r w:rsidRPr="00C87403">
        <w:rPr>
          <w:rFonts w:ascii="Times New Roman" w:hAnsi="Times New Roman" w:cs="Times New Roman"/>
          <w:b/>
          <w:sz w:val="24"/>
          <w:szCs w:val="24"/>
        </w:rPr>
        <w:t>Article A 512-7</w:t>
      </w:r>
      <w:r w:rsidRPr="00FE2714">
        <w:rPr>
          <w:rFonts w:ascii="Times New Roman" w:hAnsi="Times New Roman" w:cs="Times New Roman"/>
          <w:sz w:val="24"/>
          <w:szCs w:val="24"/>
        </w:rPr>
        <w:t xml:space="preserve"> </w:t>
      </w:r>
      <w:r w:rsidR="00C87403" w:rsidRPr="00E401E2">
        <w:rPr>
          <w:rFonts w:ascii="Times New Roman" w:hAnsi="Times New Roman" w:cs="Times New Roman"/>
          <w:sz w:val="24"/>
          <w:szCs w:val="24"/>
        </w:rPr>
        <w:t>(rédaction issue de Arrêté n° 1545 CM du 18 août 2025)</w:t>
      </w:r>
    </w:p>
    <w:p w14:paraId="13693013"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Les intermédiaires informent la direction générale des affaires économiques ou l’organisme en charge du registre, de toute modification des informations les concernant et de tout événement pouvant avoir des conséquences sur leur inscription, tels que le changement de lieu d’exercice professionnel, la cessation d’activité ou la radiation du registre du commerce et des sociétés. L’information est transmise dans le mois qui précède l’évènement, ou quand il ne peut pas être anticipé, dans le mois qui suit.</w:t>
      </w:r>
    </w:p>
    <w:p w14:paraId="4566063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 La personne qui a délivré un mandat à l’un des intermédiaires mentionnés aux 2°, 3° ou 4° du I de l’article LP 511-3 notifie à la direction générale des affaires économiques ou à l’organisme en charge du registre, la cessation de fonction de cet intermédiaire dans le mois qui précède la fin du mandat, ou dans le mois qui suit en cas de cessation soudaine de ce mandat.</w:t>
      </w:r>
    </w:p>
    <w:p w14:paraId="760875F7"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III- Lorsque l’intermédiaire ne justifie plus du respect des obligations requises pour la ou les catégories au titre de laquelle ou desquelles il est inscrit, le Président de la Polynésie française procède à la suppression de l’inscription et, le cas échéant, la radiation du registre, après avis de l’organisme en charge du registre lorsque la Polynésie française lui en a confié la tenue. </w:t>
      </w:r>
    </w:p>
    <w:p w14:paraId="3DA281B6"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La radiation ou la suppression de l’inscription sont notifiées par le Président de la Polynésie française à l’intermédiaire concerné, dans le délai de quinze jours francs suivant la décision en cause.</w:t>
      </w:r>
    </w:p>
    <w:p w14:paraId="1E56FC0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La radiation est mentionnée concomitamment sur le registre.</w:t>
      </w:r>
    </w:p>
    <w:p w14:paraId="0A10963B"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p>
    <w:p w14:paraId="3960138D" w14:textId="7267C22C" w:rsidR="00FE2714" w:rsidRDefault="00FE2714"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C87403">
        <w:rPr>
          <w:rFonts w:ascii="Times New Roman" w:hAnsi="Times New Roman" w:cs="Times New Roman"/>
          <w:b/>
          <w:sz w:val="24"/>
          <w:szCs w:val="24"/>
        </w:rPr>
        <w:t>Section II – Autres conditions d’accès et d’exercice</w:t>
      </w:r>
    </w:p>
    <w:p w14:paraId="11910FB8" w14:textId="767B2EDE" w:rsidR="00C87403" w:rsidRPr="00C87403" w:rsidRDefault="00C87403"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C87403">
        <w:rPr>
          <w:rFonts w:ascii="Times New Roman" w:hAnsi="Times New Roman" w:cs="Times New Roman"/>
          <w:sz w:val="24"/>
          <w:szCs w:val="24"/>
        </w:rPr>
        <w:t>(rédaction issue de Arrêté n° 1545 CM du 18 août 2025)</w:t>
      </w:r>
    </w:p>
    <w:p w14:paraId="26B54D4B" w14:textId="34FAC2C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Néant</w:t>
      </w:r>
    </w:p>
    <w:p w14:paraId="1462ECF2" w14:textId="6EC1F9CD" w:rsidR="00FE2714" w:rsidRPr="00C87403" w:rsidRDefault="00FE2714"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C87403">
        <w:rPr>
          <w:rFonts w:ascii="Times New Roman" w:hAnsi="Times New Roman" w:cs="Times New Roman"/>
          <w:b/>
          <w:sz w:val="24"/>
          <w:szCs w:val="24"/>
        </w:rPr>
        <w:t>Sous-section 1 : Condition d’honorabilité</w:t>
      </w:r>
    </w:p>
    <w:p w14:paraId="229910C1" w14:textId="130F0E62" w:rsidR="00C87403" w:rsidRPr="00FE2714" w:rsidRDefault="00C87403"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3228CA5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Néant</w:t>
      </w:r>
    </w:p>
    <w:p w14:paraId="61E66D6D" w14:textId="77777777" w:rsidR="00FE2714" w:rsidRPr="00C87403" w:rsidRDefault="00FE2714"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C87403">
        <w:rPr>
          <w:rFonts w:ascii="Times New Roman" w:hAnsi="Times New Roman" w:cs="Times New Roman"/>
          <w:b/>
          <w:sz w:val="24"/>
          <w:szCs w:val="24"/>
        </w:rPr>
        <w:t>Sous-section 2 : Conditions de capacité professionnelle</w:t>
      </w:r>
    </w:p>
    <w:p w14:paraId="43A78105" w14:textId="77777777" w:rsidR="00C87403" w:rsidRPr="00E401E2" w:rsidRDefault="00C87403"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6000CCEE" w14:textId="7BCA39FC" w:rsidR="00FE2714" w:rsidRPr="00C87403" w:rsidRDefault="00FE2714"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imes New Roman" w:hAnsi="Times New Roman" w:cs="Times New Roman"/>
          <w:sz w:val="24"/>
          <w:szCs w:val="24"/>
        </w:rPr>
      </w:pPr>
      <w:r w:rsidRPr="00C87403">
        <w:rPr>
          <w:rFonts w:ascii="Times New Roman" w:hAnsi="Times New Roman" w:cs="Times New Roman"/>
          <w:b/>
          <w:sz w:val="24"/>
          <w:szCs w:val="24"/>
        </w:rPr>
        <w:t>Article A 512-8</w:t>
      </w:r>
      <w:r w:rsidRPr="00C87403">
        <w:rPr>
          <w:rFonts w:ascii="Times New Roman" w:hAnsi="Times New Roman" w:cs="Times New Roman"/>
          <w:sz w:val="24"/>
          <w:szCs w:val="24"/>
        </w:rPr>
        <w:t xml:space="preserve"> </w:t>
      </w:r>
      <w:bookmarkStart w:id="17" w:name="_Hlk211596275"/>
      <w:r w:rsidR="00C87403" w:rsidRPr="00E401E2">
        <w:rPr>
          <w:rFonts w:ascii="Times New Roman" w:hAnsi="Times New Roman" w:cs="Times New Roman"/>
          <w:sz w:val="24"/>
          <w:szCs w:val="24"/>
        </w:rPr>
        <w:t>(rédaction issue de Arrêté n° 1545 CM du 18 août 2025)</w:t>
      </w:r>
      <w:bookmarkEnd w:id="17"/>
    </w:p>
    <w:p w14:paraId="19C2BA9A"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Au sein d’une personne morale, la condition de capacité professionnelle prévue à l’article LP 512-5 s’applique aux personnes physiques associés ou tiers qui dirigent ou gèrent cette personne morale, ou, le cas échéant, lorsque l’activité d’intermédiation en assurance est exercée à titre accessoire à l’activité principale, à la ou les personnes physiques, au sein de la direction, auxquelles est déléguée la responsabilité de l’activité d’intermédiation.</w:t>
      </w:r>
    </w:p>
    <w:p w14:paraId="5E7D6E40"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L’expérience à laquelle il est fait référence aux 2° et 3° du I des articles A 512-9 et A 512-10 et au 2° du I de l’article A 512-12 s’entend d’une expérience à titre salarié. Elle doit être acquise auprès d’une entreprise d’assurance, d’un intermédiaire, ou pour les intermédiaires mentionnés à l’article A 512-9, d’un établissement de crédit ou d’une société de financement, dont l’exercice est autorisé en Polynésie française ou en Nouvelle-Calédonie ou en France ou dans un autre Etat de l’Union européenne.</w:t>
      </w:r>
    </w:p>
    <w:p w14:paraId="0CFB71F5" w14:textId="04167F5B"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C87403">
        <w:rPr>
          <w:rFonts w:ascii="Times New Roman" w:hAnsi="Times New Roman" w:cs="Times New Roman"/>
          <w:b/>
          <w:sz w:val="24"/>
          <w:szCs w:val="24"/>
        </w:rPr>
        <w:t>Article A 512-9</w:t>
      </w:r>
      <w:r w:rsidRPr="00FE2714">
        <w:rPr>
          <w:rFonts w:ascii="Times New Roman" w:hAnsi="Times New Roman" w:cs="Times New Roman"/>
          <w:sz w:val="24"/>
          <w:szCs w:val="24"/>
        </w:rPr>
        <w:t xml:space="preserve"> </w:t>
      </w:r>
      <w:r w:rsidR="00C87403" w:rsidRPr="00E401E2">
        <w:rPr>
          <w:rFonts w:ascii="Times New Roman" w:hAnsi="Times New Roman" w:cs="Times New Roman"/>
          <w:sz w:val="24"/>
          <w:szCs w:val="24"/>
        </w:rPr>
        <w:t>(rédaction issue de Arrêté n° 1545 CM du 18 août 2025)</w:t>
      </w:r>
    </w:p>
    <w:p w14:paraId="254F7C47"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 Les intermédiaires mentionnés aux 1° et 2° du I de l’article LP 511-3, les établissements de crédit et les sociétés de financement mentionnés au même article, ainsi que les salariés mentionnés au 5° du I du même article qui exercent des fonctions de responsables de bureau de production ou qui ont la charge d’animer un réseau de production doivent justifier :</w:t>
      </w:r>
    </w:p>
    <w:p w14:paraId="755F7313"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 Soit d’un stage professionnel d’une durée raisonnable et suffisante sans pouvoir être inférieure à 150 heures. Le stage, dont les principes sont fixés à l’article A 512-11 doit être effectué :</w:t>
      </w:r>
    </w:p>
    <w:p w14:paraId="69CEA473"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w:t>
      </w:r>
      <w:r w:rsidRPr="00FE2714">
        <w:rPr>
          <w:rFonts w:ascii="Times New Roman" w:hAnsi="Times New Roman" w:cs="Times New Roman"/>
          <w:sz w:val="24"/>
          <w:szCs w:val="24"/>
        </w:rPr>
        <w:tab/>
        <w:t>Auprès d’une entreprise d’assurance, d’un établissement de crédit, d’une société de financement ou d’un intermédiaire visé aux 1° et 2° du I de l’article LP 511-3 ;</w:t>
      </w:r>
    </w:p>
    <w:p w14:paraId="3787B60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b.</w:t>
      </w:r>
      <w:r w:rsidRPr="00FE2714">
        <w:rPr>
          <w:rFonts w:ascii="Times New Roman" w:hAnsi="Times New Roman" w:cs="Times New Roman"/>
          <w:sz w:val="24"/>
          <w:szCs w:val="24"/>
        </w:rPr>
        <w:tab/>
        <w:t>Auprès d’un centre de formation choisi par l’intéressé lui-même lorsqu’il souhaite accéder à l’activité de courtier en assurance, ou choisi par l’employeur ou le mandant pour les autres intermédiaires ;</w:t>
      </w:r>
    </w:p>
    <w:p w14:paraId="6C600E9A"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2° Soit de deux ans d’expérience en tant que cadre dans une fonction relative à la production ou à la gestion de contrats d’assurance ou de capitalisation, dans une entreprise d’assurance ou auprès d’un intermédiaire mentionné au premier alinéa du présent article ;</w:t>
      </w:r>
    </w:p>
    <w:p w14:paraId="3C1D09C7"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3° Soit de quatre ans d’expérience dans une fonction relative à la production ou à la gestion de contrats d’assurance ou de capitalisation au sein de ces mêmes entreprises ou intermédiaires ;</w:t>
      </w:r>
    </w:p>
    <w:p w14:paraId="410CFD6C"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4° Soit de la possession d’un diplôme, titre ou certificat mentionné au II. </w:t>
      </w:r>
    </w:p>
    <w:p w14:paraId="2A62E1D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 Les diplômes, titres ou certificats sont :</w:t>
      </w:r>
    </w:p>
    <w:p w14:paraId="2E7DD0A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 Les diplômes et les titres correspondant au niveau de formation master.</w:t>
      </w:r>
    </w:p>
    <w:p w14:paraId="2BB9E28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2° Les diplômes et les titres correspondant simultanément :</w:t>
      </w:r>
    </w:p>
    <w:p w14:paraId="1533D1F9"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w:t>
      </w:r>
      <w:r w:rsidRPr="00FE2714">
        <w:rPr>
          <w:rFonts w:ascii="Times New Roman" w:hAnsi="Times New Roman" w:cs="Times New Roman"/>
          <w:sz w:val="24"/>
          <w:szCs w:val="24"/>
        </w:rPr>
        <w:tab/>
        <w:t>au niveau de formation licence ;</w:t>
      </w:r>
    </w:p>
    <w:p w14:paraId="000B062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w:t>
      </w:r>
      <w:r w:rsidRPr="00FE2714">
        <w:rPr>
          <w:rFonts w:ascii="Times New Roman" w:hAnsi="Times New Roman" w:cs="Times New Roman"/>
          <w:sz w:val="24"/>
          <w:szCs w:val="24"/>
        </w:rPr>
        <w:tab/>
        <w:t>à la spécialité de formation 313 de la nomenclature nationale des spécialités de formation.</w:t>
      </w:r>
    </w:p>
    <w:p w14:paraId="41F74DE6"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3° Les certificats de qualification professionnelle enregistrés au répertoire national des certifications professionnelles et correspondant à la spécialité de formation 313 de la nomenclature nationale des spécialités de formation.</w:t>
      </w:r>
    </w:p>
    <w:p w14:paraId="47743A96" w14:textId="6E20824C"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C87403">
        <w:rPr>
          <w:rFonts w:ascii="Times New Roman" w:hAnsi="Times New Roman" w:cs="Times New Roman"/>
          <w:b/>
          <w:sz w:val="24"/>
          <w:szCs w:val="24"/>
        </w:rPr>
        <w:t>Article A. 512-10</w:t>
      </w:r>
      <w:r w:rsidRPr="00FE2714">
        <w:rPr>
          <w:rFonts w:ascii="Times New Roman" w:hAnsi="Times New Roman" w:cs="Times New Roman"/>
          <w:sz w:val="24"/>
          <w:szCs w:val="24"/>
        </w:rPr>
        <w:t xml:space="preserve"> </w:t>
      </w:r>
      <w:r w:rsidR="00C87403" w:rsidRPr="00E401E2">
        <w:rPr>
          <w:rFonts w:ascii="Times New Roman" w:hAnsi="Times New Roman" w:cs="Times New Roman"/>
          <w:sz w:val="24"/>
          <w:szCs w:val="24"/>
        </w:rPr>
        <w:t>(rédaction issue de Arrêté n° 1545 CM du 18 août 2025)</w:t>
      </w:r>
    </w:p>
    <w:p w14:paraId="50F85F4A"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Sous réserve des dispositions des articles A 512-9 et A 512-12, les intermédiaires mentionnés aux 3° et 4° du I de l’article LP 511-3, les salariés mentionnés au 5° du I du même article doivent justifier :</w:t>
      </w:r>
    </w:p>
    <w:p w14:paraId="636C68B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 Soit d’un stage professionnel d’une durée raisonnable et suffisante sans pouvoir être inférieure à 150 heures. Le stage, dont les principes sont fixés à l’article A 512-11, doit être effectué :</w:t>
      </w:r>
    </w:p>
    <w:p w14:paraId="50F9C4E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w:t>
      </w:r>
      <w:r w:rsidRPr="00FE2714">
        <w:rPr>
          <w:rFonts w:ascii="Times New Roman" w:hAnsi="Times New Roman" w:cs="Times New Roman"/>
          <w:sz w:val="24"/>
          <w:szCs w:val="24"/>
        </w:rPr>
        <w:tab/>
        <w:t>Auprès d’une entreprise d’assurance ou d’un intermédiaire visé aux 1° à 4° du I de l’article LP 511-3 ;</w:t>
      </w:r>
    </w:p>
    <w:p w14:paraId="1903303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b)</w:t>
      </w:r>
      <w:r w:rsidRPr="00FE2714">
        <w:rPr>
          <w:rFonts w:ascii="Times New Roman" w:hAnsi="Times New Roman" w:cs="Times New Roman"/>
          <w:sz w:val="24"/>
          <w:szCs w:val="24"/>
        </w:rPr>
        <w:tab/>
        <w:t>Auprès d’un centre de formation choisi par l’employeur ou le mandant ;</w:t>
      </w:r>
    </w:p>
    <w:p w14:paraId="2A5CF869"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2° Soit d’un an d’expérience en tant que cadre dans une fonction relative à la production ou à la gestion de contrats d’assurance ou de capitalisation, au sein d’une entreprise d’assurance ou d’un intermédiaire mentionné aux 1° à 4° du I de l’article LP 511-3 ;</w:t>
      </w:r>
    </w:p>
    <w:p w14:paraId="4BB28C7D"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3° Soit de deux ans d’expérience dans une fonction relative à la production ou à la gestion de contrats d’assurance ou de capitalisation au sein de ces mêmes entreprises ou intermédiaires ;</w:t>
      </w:r>
    </w:p>
    <w:p w14:paraId="1BC48808"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4° Soit de la possession d’un diplôme, titre ou certificat mentionné au II.</w:t>
      </w:r>
    </w:p>
    <w:p w14:paraId="5DA34E9B"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 Les diplômes, titres ou certificats sont :</w:t>
      </w:r>
    </w:p>
    <w:p w14:paraId="5D0B76E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 Les diplômes et les titres enregistrés au répertoire national des certifications professionnelles et correspondant simultanément :</w:t>
      </w:r>
    </w:p>
    <w:p w14:paraId="1BDCAF7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w:t>
      </w:r>
      <w:r w:rsidRPr="00FE2714">
        <w:rPr>
          <w:rFonts w:ascii="Times New Roman" w:hAnsi="Times New Roman" w:cs="Times New Roman"/>
          <w:sz w:val="24"/>
          <w:szCs w:val="24"/>
        </w:rPr>
        <w:tab/>
        <w:t>au niveau de formation 5 de la nomenclature des niveaux de formation utilisés par la Commission nationale de la certification professionnelle ;</w:t>
      </w:r>
    </w:p>
    <w:p w14:paraId="7C45441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w:t>
      </w:r>
      <w:r w:rsidRPr="00FE2714">
        <w:rPr>
          <w:rFonts w:ascii="Times New Roman" w:hAnsi="Times New Roman" w:cs="Times New Roman"/>
          <w:sz w:val="24"/>
          <w:szCs w:val="24"/>
        </w:rPr>
        <w:tab/>
        <w:t xml:space="preserve">à la spécialité de formation 120, 122, 128, 310, 312, 313 et 314 de la nomenclature nationale des spécialités de formation </w:t>
      </w:r>
    </w:p>
    <w:p w14:paraId="085340D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2° Les certificats de qualification professionnelle enregistrés au répertoire national des certifications professionnelles et correspondant à la spécialité de formation 120, 122, 128, 310, 312, 313 et 314 de la nomenclature nationale des spécialités de formation.</w:t>
      </w:r>
    </w:p>
    <w:p w14:paraId="7CEA4699" w14:textId="70339F4F"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C87403">
        <w:rPr>
          <w:rFonts w:ascii="Times New Roman" w:hAnsi="Times New Roman" w:cs="Times New Roman"/>
          <w:b/>
          <w:sz w:val="24"/>
          <w:szCs w:val="24"/>
        </w:rPr>
        <w:t>Article A 512-11</w:t>
      </w:r>
      <w:r w:rsidRPr="00FE2714">
        <w:rPr>
          <w:rFonts w:ascii="Times New Roman" w:hAnsi="Times New Roman" w:cs="Times New Roman"/>
          <w:sz w:val="24"/>
          <w:szCs w:val="24"/>
        </w:rPr>
        <w:t xml:space="preserve"> </w:t>
      </w:r>
      <w:r w:rsidR="00C87403" w:rsidRPr="00E401E2">
        <w:rPr>
          <w:rFonts w:ascii="Times New Roman" w:hAnsi="Times New Roman" w:cs="Times New Roman"/>
          <w:sz w:val="24"/>
          <w:szCs w:val="24"/>
        </w:rPr>
        <w:t>(rédaction issue de Arrêté n° 1545 CM du 18 août 2025)</w:t>
      </w:r>
    </w:p>
    <w:p w14:paraId="42A3500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Le stage professionnel mentionné aux articles A 512-9 et A 512-10 a pour objet de permettre aux stagiaires d’acquérir, préalablement à l’exercice de l’activité d’intermédiation, des compétences en matière juridique, technique, commerciale et administrative définies dans le programme minimal de formation qui figure en annexe 5-2 du présent code.</w:t>
      </w:r>
    </w:p>
    <w:p w14:paraId="0E41B426"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 Les stages professionnels auxquels il est fait référence au 1° du I des articles A 512-9 et A 512-10 doivent être effectués auprès d’une entreprise d’assurance ou d’un intermédiaire dont l’exercice est autorisé en Polynésie française ou en Nouvelle-Calédonie ou en France ou dans un autre Etat de l’Union européenne, ou d’un centre de formation enregistré en Polynésie française ou reconnu en Nouvelle-Calédonie ou en France.</w:t>
      </w:r>
    </w:p>
    <w:p w14:paraId="09A8D19A"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III- Les compétences acquises font l’objet d’un contrôle à l’issue du stage. Les résultats de ce contrôle doivent être annexés à un livret de stage signé par les personnes auprès desquelles le stage a été effectué et remis à son titulaire dans les plus brefs délais.</w:t>
      </w:r>
    </w:p>
    <w:p w14:paraId="2C7DB279" w14:textId="077383BA"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C87403">
        <w:rPr>
          <w:rFonts w:ascii="Times New Roman" w:hAnsi="Times New Roman" w:cs="Times New Roman"/>
          <w:b/>
          <w:sz w:val="24"/>
          <w:szCs w:val="24"/>
        </w:rPr>
        <w:t>Article A 512-12</w:t>
      </w:r>
      <w:r w:rsidRPr="00FE2714">
        <w:rPr>
          <w:rFonts w:ascii="Times New Roman" w:hAnsi="Times New Roman" w:cs="Times New Roman"/>
          <w:sz w:val="24"/>
          <w:szCs w:val="24"/>
        </w:rPr>
        <w:t xml:space="preserve"> </w:t>
      </w:r>
      <w:r w:rsidR="00C87403" w:rsidRPr="00E401E2">
        <w:rPr>
          <w:rFonts w:ascii="Times New Roman" w:hAnsi="Times New Roman" w:cs="Times New Roman"/>
          <w:sz w:val="24"/>
          <w:szCs w:val="24"/>
        </w:rPr>
        <w:t>(rédaction issue de Arrêté n° 1545 CM du 18 août 2025)</w:t>
      </w:r>
    </w:p>
    <w:p w14:paraId="6D34A84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Lorsque les intermédiaires mentionnés aux 3° ou 4° du I de l’article LP 511-3 et leurs salariés exercent l’activité d’intermédiation à titre accessoire à leur activité professionnelle principale et présentent, proposent ou aident à conclure uniquement des contrats relatifs à des produits d’assurance constituant un complément au produit ou au service fourni dans le cadre de leur activité professionnelle et ne comportant pas de couverture de responsabilité civile, ils doivent satisfaire à l’une des conditions ci-dessous énumérées :</w:t>
      </w:r>
    </w:p>
    <w:p w14:paraId="1828308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 Soit avoir effectué une formation d’une durée raisonnable, adaptée aux produits et contrats qu’ils présentent ou proposent, sanctionnée par la délivrance d’une attestation de formation ;</w:t>
      </w:r>
    </w:p>
    <w:p w14:paraId="58D9FC83"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2° Soit présenter une ancienneté de six mois d’expérience dans une fonction relative à la production ou à la gestion de contrats d’assurance ou de capitalisation dans une entreprise d’assurance ou au sein d’un des intermédiaires mentionnés aux 1° à 4° du I de l’article LP 511-3 ;</w:t>
      </w:r>
    </w:p>
    <w:p w14:paraId="3DB90F26"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3° Soit être en possession d’un diplôme, titre ou certificat mentionné sur la liste fixée par le II de l’article A 512-10.</w:t>
      </w:r>
    </w:p>
    <w:p w14:paraId="7F86EB4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 Les personnes physiques salariées mentionnées au 5° du I de l’article LP 511-3, travaillant au siège ou dans un bureau de production, dont le responsable remplit les conditions de capacité professionnelle requises mentionnées à l’article A 512-9 doivent satisfaire à l’une des conditions mentionnées aux 1° à 3° du I du présent article.</w:t>
      </w:r>
    </w:p>
    <w:p w14:paraId="75FE32FA" w14:textId="5D295E7A"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C87403">
        <w:rPr>
          <w:rFonts w:ascii="Times New Roman" w:hAnsi="Times New Roman" w:cs="Times New Roman"/>
          <w:b/>
          <w:sz w:val="24"/>
          <w:szCs w:val="24"/>
        </w:rPr>
        <w:t>Article A 512-13</w:t>
      </w:r>
      <w:r w:rsidR="00C87403">
        <w:rPr>
          <w:rFonts w:ascii="Times New Roman" w:hAnsi="Times New Roman" w:cs="Times New Roman"/>
          <w:sz w:val="24"/>
          <w:szCs w:val="24"/>
        </w:rPr>
        <w:t xml:space="preserve"> </w:t>
      </w:r>
      <w:r w:rsidR="00C87403" w:rsidRPr="00E401E2">
        <w:rPr>
          <w:rFonts w:ascii="Times New Roman" w:hAnsi="Times New Roman" w:cs="Times New Roman"/>
          <w:sz w:val="24"/>
          <w:szCs w:val="24"/>
        </w:rPr>
        <w:t>(rédaction issue de Arrêté n° 1545 CM du 18 août 2025)</w:t>
      </w:r>
    </w:p>
    <w:p w14:paraId="33F695A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Lorsqu’il exerce l’activité de distribution au titre de plus d’une des catégories mentionnées au I de l’article LP 511-3, l’intermédiaire doit justifier des exigences de capacité les plus élevées prévues pour ces mêmes catégories.</w:t>
      </w:r>
    </w:p>
    <w:p w14:paraId="15D74896" w14:textId="0EE7EC17" w:rsidR="00FE2714" w:rsidRPr="00C87403" w:rsidRDefault="00FE2714"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C87403">
        <w:rPr>
          <w:rFonts w:ascii="Times New Roman" w:hAnsi="Times New Roman" w:cs="Times New Roman"/>
          <w:b/>
          <w:sz w:val="24"/>
          <w:szCs w:val="24"/>
        </w:rPr>
        <w:t>Sous-section 3 : Assurance de Responsabilité civile</w:t>
      </w:r>
    </w:p>
    <w:p w14:paraId="7258E56D" w14:textId="576673D8" w:rsidR="00C87403" w:rsidRDefault="00C87403"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6A59F002" w14:textId="77777777" w:rsidR="00C87403" w:rsidRPr="00FE2714" w:rsidRDefault="00C87403"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p>
    <w:p w14:paraId="7F086912" w14:textId="2D089F1D" w:rsidR="00FE2714" w:rsidRPr="00C87403"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b/>
          <w:sz w:val="24"/>
          <w:szCs w:val="24"/>
        </w:rPr>
      </w:pPr>
      <w:r w:rsidRPr="00C87403">
        <w:rPr>
          <w:rFonts w:ascii="Times New Roman" w:hAnsi="Times New Roman" w:cs="Times New Roman"/>
          <w:b/>
          <w:sz w:val="24"/>
          <w:szCs w:val="24"/>
        </w:rPr>
        <w:t>Article A 512-14</w:t>
      </w:r>
      <w:r w:rsidR="00C87403">
        <w:rPr>
          <w:rFonts w:ascii="Times New Roman" w:hAnsi="Times New Roman" w:cs="Times New Roman"/>
          <w:b/>
          <w:sz w:val="24"/>
          <w:szCs w:val="24"/>
        </w:rPr>
        <w:t xml:space="preserve"> </w:t>
      </w:r>
      <w:r w:rsidR="00C87403" w:rsidRPr="00E401E2">
        <w:rPr>
          <w:rFonts w:ascii="Times New Roman" w:hAnsi="Times New Roman" w:cs="Times New Roman"/>
          <w:sz w:val="24"/>
          <w:szCs w:val="24"/>
        </w:rPr>
        <w:t>(rédaction issue de Arrêté n° 1545 CM du 18 août 2025)</w:t>
      </w:r>
    </w:p>
    <w:p w14:paraId="00B3DBCB"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Le contrat d’assurance de responsabilité civile professionnelle prévu à l’article LP 512-6 doit couvrir le territoire de la Polynésie française. Il comporte pour les entreprises d’assurance des obligations qui ne peuvent pas être inférieures à celles définies ci-dessous :</w:t>
      </w:r>
    </w:p>
    <w:p w14:paraId="0F039ECA"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1° Le montant minimal de la garantie du contrat d’assurance est fixé à 178 000 000 F CFP par sinistre et à 238 000 000 FCFP par année pour un même intermédiaire ; </w:t>
      </w:r>
    </w:p>
    <w:p w14:paraId="18EF6D06"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2° Il peut fixer une franchise par sinistre qui ne doit pas excéder 20 % du montant des indemnités dues. Cette franchise n’est pas opposable aux victimes. </w:t>
      </w:r>
    </w:p>
    <w:p w14:paraId="343642A7"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II- L’assureur délivre à la personne garantie une attestation d’assurance de responsabilité civile professionnelle.</w:t>
      </w:r>
    </w:p>
    <w:p w14:paraId="20A7DD18" w14:textId="3ECCDC33" w:rsidR="00FE2714" w:rsidRDefault="00FE2714"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C87403">
        <w:rPr>
          <w:rFonts w:ascii="Times New Roman" w:hAnsi="Times New Roman" w:cs="Times New Roman"/>
          <w:b/>
          <w:sz w:val="24"/>
          <w:szCs w:val="24"/>
        </w:rPr>
        <w:t>Sous-section 4 : Garantie financière</w:t>
      </w:r>
    </w:p>
    <w:p w14:paraId="54286100" w14:textId="2C1E19FD" w:rsidR="00C87403" w:rsidRPr="00C87403" w:rsidRDefault="00C87403" w:rsidP="00C8740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E401E2">
        <w:rPr>
          <w:rFonts w:ascii="Times New Roman" w:hAnsi="Times New Roman" w:cs="Times New Roman"/>
          <w:sz w:val="24"/>
          <w:szCs w:val="24"/>
        </w:rPr>
        <w:t>(rédaction issue de Arrêté n° 1545 CM du 18 août 2025)</w:t>
      </w:r>
    </w:p>
    <w:p w14:paraId="62D9AA6F" w14:textId="506C79BA"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5544D8">
        <w:rPr>
          <w:rFonts w:ascii="Times New Roman" w:hAnsi="Times New Roman" w:cs="Times New Roman"/>
          <w:b/>
          <w:sz w:val="24"/>
          <w:szCs w:val="24"/>
        </w:rPr>
        <w:t>Article A 512-15</w:t>
      </w:r>
      <w:r w:rsidR="005544D8">
        <w:rPr>
          <w:rFonts w:ascii="Times New Roman" w:hAnsi="Times New Roman" w:cs="Times New Roman"/>
          <w:sz w:val="24"/>
          <w:szCs w:val="24"/>
        </w:rPr>
        <w:t xml:space="preserve"> </w:t>
      </w:r>
      <w:r w:rsidR="005544D8" w:rsidRPr="00E401E2">
        <w:rPr>
          <w:rFonts w:ascii="Times New Roman" w:hAnsi="Times New Roman" w:cs="Times New Roman"/>
          <w:sz w:val="24"/>
          <w:szCs w:val="24"/>
        </w:rPr>
        <w:t>(rédaction issue de Arrêté n° 1545 CM du 18 août 2025)</w:t>
      </w:r>
    </w:p>
    <w:p w14:paraId="536C5C2C"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I- Le montant de la garantie financière prévue à l’article LP 512-7 doit être au moins égal à la somme de 13 700 000 FCFP et ne peut être inférieur au double du montant moyen mensuel des fonds encaissés par l’intermédiaire, calculé sur la base des fonds encaissés au cours des douze derniers mois précédant le mois de la date de souscription ou de reconduction de l’engagement de caution. </w:t>
      </w:r>
    </w:p>
    <w:p w14:paraId="7F18DF18"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Pour son calcul, le montant de la garantie tient compte du total des fonds encaissés par l’intermédiaire et qui lui ont été confiés par les assurés en vue d’être versés à des entreprises d’assurance ou par toute personne physique ou morale en vue d’être versés aux assurés. De ce total seront déduits les versements pour lesquels l’intermédiaire a reçu d’une entreprise d’assurance un mandat écrit le chargeant expressément de l’encaissement des primes et accessoirement du règlement des sinistres. </w:t>
      </w:r>
    </w:p>
    <w:p w14:paraId="7833971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II - Le garant délivre à l’intermédiaire une attestation de garantie financière. </w:t>
      </w:r>
    </w:p>
    <w:p w14:paraId="6E3986C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p>
    <w:p w14:paraId="2FF39C1D" w14:textId="77777777" w:rsidR="00FE2714" w:rsidRPr="00EA33BF" w:rsidRDefault="00FE2714" w:rsidP="00EA33B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EA33BF">
        <w:rPr>
          <w:rFonts w:ascii="Times New Roman" w:hAnsi="Times New Roman" w:cs="Times New Roman"/>
          <w:b/>
          <w:sz w:val="24"/>
          <w:szCs w:val="24"/>
        </w:rPr>
        <w:t>Chapitre III : Dérogations aux principes généraux pour les intermédiaires d’assurances à titre accessoire</w:t>
      </w:r>
    </w:p>
    <w:p w14:paraId="4319A633" w14:textId="77777777" w:rsidR="00EA33BF" w:rsidRDefault="00EA33BF" w:rsidP="00EA33B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2FB8E412" w14:textId="778A05F1" w:rsidR="00FE2714" w:rsidRPr="00EA33BF"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b/>
          <w:sz w:val="24"/>
          <w:szCs w:val="24"/>
        </w:rPr>
      </w:pPr>
      <w:r w:rsidRPr="00EA33BF">
        <w:rPr>
          <w:rFonts w:ascii="Times New Roman" w:hAnsi="Times New Roman" w:cs="Times New Roman"/>
          <w:b/>
          <w:sz w:val="24"/>
          <w:szCs w:val="24"/>
        </w:rPr>
        <w:t>Article A 513-1</w:t>
      </w:r>
      <w:r w:rsidR="00EA33BF">
        <w:rPr>
          <w:rFonts w:ascii="Times New Roman" w:hAnsi="Times New Roman" w:cs="Times New Roman"/>
          <w:b/>
          <w:sz w:val="24"/>
          <w:szCs w:val="24"/>
        </w:rPr>
        <w:t xml:space="preserve"> </w:t>
      </w:r>
      <w:r w:rsidR="00EA33BF" w:rsidRPr="00E401E2">
        <w:rPr>
          <w:rFonts w:ascii="Times New Roman" w:hAnsi="Times New Roman" w:cs="Times New Roman"/>
          <w:sz w:val="24"/>
          <w:szCs w:val="24"/>
        </w:rPr>
        <w:t>(rédaction issue de Arrêté n° 1545 CM du 18 août 2025)</w:t>
      </w:r>
    </w:p>
    <w:p w14:paraId="631250B7"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Le montant de la prime du contrat d'assurance calculé sur une année tel que visé au 2° de l’article LP 513-1 est de 60 000 F CFP.</w:t>
      </w:r>
    </w:p>
    <w:p w14:paraId="50AF75F0"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 montant de la prime par personne tel que visé au 3° de l’article LP 513-1 est de 24 000 F CFP.</w:t>
      </w:r>
    </w:p>
    <w:p w14:paraId="764C62E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p>
    <w:p w14:paraId="6B7A6B1D" w14:textId="1558364A" w:rsidR="00FE2714" w:rsidRDefault="00FE2714"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both"/>
        <w:rPr>
          <w:rFonts w:ascii="Times New Roman" w:hAnsi="Times New Roman" w:cs="Times New Roman"/>
          <w:b/>
          <w:sz w:val="24"/>
          <w:szCs w:val="24"/>
        </w:rPr>
      </w:pPr>
      <w:r w:rsidRPr="00677E8D">
        <w:rPr>
          <w:rFonts w:ascii="Times New Roman" w:hAnsi="Times New Roman" w:cs="Times New Roman"/>
          <w:b/>
          <w:sz w:val="24"/>
          <w:szCs w:val="24"/>
        </w:rPr>
        <w:t>Chapitre IV : Contrôle des conditions d’accès et exercice de l’activité de distribution</w:t>
      </w:r>
    </w:p>
    <w:p w14:paraId="742779BD" w14:textId="29764518" w:rsidR="00677E8D" w:rsidRPr="00677E8D" w:rsidRDefault="00677E8D"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E401E2">
        <w:rPr>
          <w:rFonts w:ascii="Times New Roman" w:hAnsi="Times New Roman" w:cs="Times New Roman"/>
          <w:sz w:val="24"/>
          <w:szCs w:val="24"/>
        </w:rPr>
        <w:t>(rédaction issue de Arrêté n° 1545 CM du 18 août 2025)</w:t>
      </w:r>
    </w:p>
    <w:p w14:paraId="526C30D8" w14:textId="77777777" w:rsidR="00FE2714" w:rsidRPr="00EA33BF" w:rsidRDefault="00FE2714" w:rsidP="00EA33B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EA33BF">
        <w:rPr>
          <w:rFonts w:ascii="Times New Roman" w:hAnsi="Times New Roman" w:cs="Times New Roman"/>
          <w:b/>
          <w:sz w:val="24"/>
          <w:szCs w:val="24"/>
        </w:rPr>
        <w:t>Section I : Justifications exigées des personnes habilitées à présenter des opérations d’assurance ou de capitalisation</w:t>
      </w:r>
    </w:p>
    <w:p w14:paraId="0163C11C" w14:textId="77777777" w:rsidR="00EA33BF" w:rsidRDefault="00EA33BF" w:rsidP="00EA33B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1B9AAB4F" w14:textId="34AD8F6B"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Néant</w:t>
      </w:r>
    </w:p>
    <w:p w14:paraId="17AAAB33" w14:textId="77777777" w:rsidR="00FE2714" w:rsidRPr="00EA33BF" w:rsidRDefault="00FE2714"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EA33BF">
        <w:rPr>
          <w:rFonts w:ascii="Times New Roman" w:hAnsi="Times New Roman" w:cs="Times New Roman"/>
          <w:b/>
          <w:sz w:val="24"/>
          <w:szCs w:val="24"/>
        </w:rPr>
        <w:t>Section II : Modalités de contrôle spéciales aux conditions de capacité professionnelle</w:t>
      </w:r>
    </w:p>
    <w:p w14:paraId="7E1E7BEE" w14:textId="77777777" w:rsidR="00EA33BF" w:rsidRDefault="00EA33BF" w:rsidP="00EA33B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09769188" w14:textId="2C24631D" w:rsidR="00FE2714" w:rsidRPr="00EA33BF"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b/>
          <w:sz w:val="24"/>
          <w:szCs w:val="24"/>
        </w:rPr>
      </w:pPr>
      <w:r w:rsidRPr="00EA33BF">
        <w:rPr>
          <w:rFonts w:ascii="Times New Roman" w:hAnsi="Times New Roman" w:cs="Times New Roman"/>
          <w:b/>
          <w:sz w:val="24"/>
          <w:szCs w:val="24"/>
        </w:rPr>
        <w:t>Article A 514-1</w:t>
      </w:r>
      <w:r w:rsidR="00677E8D">
        <w:rPr>
          <w:rFonts w:ascii="Times New Roman" w:hAnsi="Times New Roman" w:cs="Times New Roman"/>
          <w:b/>
          <w:sz w:val="24"/>
          <w:szCs w:val="24"/>
        </w:rPr>
        <w:t xml:space="preserve"> </w:t>
      </w:r>
      <w:r w:rsidR="00677E8D" w:rsidRPr="00E401E2">
        <w:rPr>
          <w:rFonts w:ascii="Times New Roman" w:hAnsi="Times New Roman" w:cs="Times New Roman"/>
          <w:sz w:val="24"/>
          <w:szCs w:val="24"/>
        </w:rPr>
        <w:t>(rédaction issue de Arrêté n° 1545 CM du 18 août 2025)</w:t>
      </w:r>
    </w:p>
    <w:p w14:paraId="24B9C54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Il est justifié de la capacité professionnelle prévue au I de l’article LP 511-5 par la présentation, selon les cas, de l’un des documents suivants :</w:t>
      </w:r>
    </w:p>
    <w:p w14:paraId="05D126F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 Livret de stage défini à l’article A 514-2 ;</w:t>
      </w:r>
    </w:p>
    <w:p w14:paraId="43D03E66"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b) Attestation de formation mentionnée à l’article A 514-3 ;</w:t>
      </w:r>
    </w:p>
    <w:p w14:paraId="26F6AE2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c) Attestation de fonctions ;</w:t>
      </w:r>
    </w:p>
    <w:p w14:paraId="608361CF"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d) Diplôme, titre ou certificat mentionnés aux articles A 512-9, A 512-10 et A 512-12.</w:t>
      </w:r>
    </w:p>
    <w:p w14:paraId="2B4C2E06" w14:textId="029269A4"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677E8D">
        <w:rPr>
          <w:rFonts w:ascii="Times New Roman" w:hAnsi="Times New Roman" w:cs="Times New Roman"/>
          <w:b/>
          <w:sz w:val="24"/>
          <w:szCs w:val="24"/>
        </w:rPr>
        <w:t>Article A 514-2</w:t>
      </w:r>
      <w:r w:rsidR="00677E8D">
        <w:rPr>
          <w:rFonts w:ascii="Times New Roman" w:hAnsi="Times New Roman" w:cs="Times New Roman"/>
          <w:sz w:val="24"/>
          <w:szCs w:val="24"/>
        </w:rPr>
        <w:t xml:space="preserve"> </w:t>
      </w:r>
      <w:r w:rsidR="00677E8D" w:rsidRPr="00E401E2">
        <w:rPr>
          <w:rFonts w:ascii="Times New Roman" w:hAnsi="Times New Roman" w:cs="Times New Roman"/>
          <w:sz w:val="24"/>
          <w:szCs w:val="24"/>
        </w:rPr>
        <w:t>(rédaction issue de Arrêté n° 1545 CM du 18 août 2025)</w:t>
      </w:r>
    </w:p>
    <w:p w14:paraId="248E5E4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 livret de stage, signé par les personnes auprès desquelles le stage a été effectué, comprend en annexe les résultats du contrôle des compétences mentionné au II de l’article A 512-11. Il est remis dans les plus brefs délais à son titulaire.</w:t>
      </w:r>
    </w:p>
    <w:p w14:paraId="04C3387D" w14:textId="7549737D"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677E8D">
        <w:rPr>
          <w:rFonts w:ascii="Times New Roman" w:hAnsi="Times New Roman" w:cs="Times New Roman"/>
          <w:b/>
          <w:sz w:val="24"/>
          <w:szCs w:val="24"/>
        </w:rPr>
        <w:t>Article A 514-3</w:t>
      </w:r>
      <w:r w:rsidR="00677E8D">
        <w:rPr>
          <w:rFonts w:ascii="Times New Roman" w:hAnsi="Times New Roman" w:cs="Times New Roman"/>
          <w:sz w:val="24"/>
          <w:szCs w:val="24"/>
        </w:rPr>
        <w:t xml:space="preserve"> </w:t>
      </w:r>
      <w:r w:rsidR="00677E8D" w:rsidRPr="00E401E2">
        <w:rPr>
          <w:rFonts w:ascii="Times New Roman" w:hAnsi="Times New Roman" w:cs="Times New Roman"/>
          <w:sz w:val="24"/>
          <w:szCs w:val="24"/>
        </w:rPr>
        <w:t>(rédaction issue de Arrêté n° 1545 CM du 18 août 2025)</w:t>
      </w:r>
    </w:p>
    <w:p w14:paraId="505AC87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L’attestation de formation est signée par la personne responsable de la formation. Elle est remise à son titulaire à l’issue de la formation.</w:t>
      </w:r>
    </w:p>
    <w:p w14:paraId="45C9216C" w14:textId="1DE07295"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p>
    <w:p w14:paraId="5013FBCF" w14:textId="77777777" w:rsidR="00FE2714" w:rsidRPr="00677E8D" w:rsidRDefault="00FE2714"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677E8D">
        <w:rPr>
          <w:rFonts w:ascii="Times New Roman" w:hAnsi="Times New Roman" w:cs="Times New Roman"/>
          <w:b/>
          <w:sz w:val="24"/>
          <w:szCs w:val="24"/>
        </w:rPr>
        <w:t>Section III : Modalités de contrôle spéciales aux conditions d’honorabilité.</w:t>
      </w:r>
    </w:p>
    <w:p w14:paraId="0FBA4B17" w14:textId="77777777" w:rsidR="00677E8D" w:rsidRDefault="00677E8D"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29B00A4B" w14:textId="2C1AFD57" w:rsidR="00FE2714" w:rsidRPr="00677E8D"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b/>
          <w:sz w:val="24"/>
          <w:szCs w:val="24"/>
        </w:rPr>
      </w:pPr>
      <w:r w:rsidRPr="00677E8D">
        <w:rPr>
          <w:rFonts w:ascii="Times New Roman" w:hAnsi="Times New Roman" w:cs="Times New Roman"/>
          <w:b/>
          <w:sz w:val="24"/>
          <w:szCs w:val="24"/>
        </w:rPr>
        <w:t>Article A 514-4</w:t>
      </w:r>
      <w:r w:rsidR="00677E8D">
        <w:rPr>
          <w:rFonts w:ascii="Times New Roman" w:hAnsi="Times New Roman" w:cs="Times New Roman"/>
          <w:b/>
          <w:sz w:val="24"/>
          <w:szCs w:val="24"/>
        </w:rPr>
        <w:t xml:space="preserve"> </w:t>
      </w:r>
      <w:r w:rsidR="00677E8D" w:rsidRPr="00E401E2">
        <w:rPr>
          <w:rFonts w:ascii="Times New Roman" w:hAnsi="Times New Roman" w:cs="Times New Roman"/>
          <w:sz w:val="24"/>
          <w:szCs w:val="24"/>
        </w:rPr>
        <w:t>(rédaction issue de Arrêté n° 1545 CM du 18 août 2025)</w:t>
      </w:r>
    </w:p>
    <w:p w14:paraId="6187ADC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 l’effet de vérifier les conditions d’honorabilité mentionnées aux I à V de l’article LP. 331-3, la Polynésie française demande communication du bulletin n° 2 du casier judiciaire de la personne intéressée.</w:t>
      </w:r>
    </w:p>
    <w:p w14:paraId="2D22463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 xml:space="preserve">La vérification des conditions d’honorabilité au vu du bulletin n° 2 s’applique aux intermédiaires personnes physiques mentionnés aux 1° à 4° du I de l’article LP 511-3. Elle s’applique aussi aux associés ou tiers qui dirigent et gèrent, au sein des intermédiaires personnes morales mentionnées aux 1° à 4° du I de l’article LP 511-3, l’activité de distribution, ainsi que, le cas échéant, lorsque l’activité d’intermédiation en assurance est exercée à titre accessoire de leur activité principale, à la ou aux personnes, au sein de la direction, auxquelles est déléguée la responsabilité de cette activité. </w:t>
      </w:r>
    </w:p>
    <w:p w14:paraId="16EBA7A9"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II.- Les salariés directement responsables de l’activité de distribution, notamment exerçant des fonctions de responsable d’un bureau de production ou d’animation d’un réseau de production, justifient de la condition d’honorabilité par une déclaration sur l’honneur attestant qu’ils remplissent les conditions mentionnées aux I à V de l’article LP 331-3. Ce document est remis à l’employeur lors de l’embauche ou de la nomination de ces salariés. </w:t>
      </w:r>
    </w:p>
    <w:p w14:paraId="698BBA69" w14:textId="39455FE5" w:rsidR="00FE2714" w:rsidRDefault="00FE2714"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677E8D">
        <w:rPr>
          <w:rFonts w:ascii="Times New Roman" w:hAnsi="Times New Roman" w:cs="Times New Roman"/>
          <w:b/>
          <w:sz w:val="24"/>
          <w:szCs w:val="24"/>
        </w:rPr>
        <w:t>Section IV : Dispositions diverses et pénalités.</w:t>
      </w:r>
    </w:p>
    <w:p w14:paraId="357C942E" w14:textId="074D8733" w:rsidR="00677E8D" w:rsidRDefault="00677E8D"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E401E2">
        <w:rPr>
          <w:rFonts w:ascii="Times New Roman" w:hAnsi="Times New Roman" w:cs="Times New Roman"/>
          <w:sz w:val="24"/>
          <w:szCs w:val="24"/>
        </w:rPr>
        <w:t>(rédaction issue de Arrêté n° 1545 CM du 18 août 2025)</w:t>
      </w:r>
    </w:p>
    <w:p w14:paraId="307B3AF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Article réservé</w:t>
      </w:r>
    </w:p>
    <w:p w14:paraId="0290FF81" w14:textId="1D9791BE" w:rsidR="00FE2714" w:rsidRDefault="00FE2714"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677E8D">
        <w:rPr>
          <w:rFonts w:ascii="Times New Roman" w:hAnsi="Times New Roman" w:cs="Times New Roman"/>
          <w:b/>
          <w:sz w:val="24"/>
          <w:szCs w:val="24"/>
        </w:rPr>
        <w:t>Titre II : INFORMATIONS A FOURNIR PAR LES DISTRIBUTEURS ET REGLES DE CONDUITE</w:t>
      </w:r>
      <w:r w:rsidR="00677E8D" w:rsidRPr="00E401E2">
        <w:rPr>
          <w:rFonts w:ascii="Times New Roman" w:hAnsi="Times New Roman" w:cs="Times New Roman"/>
          <w:sz w:val="24"/>
          <w:szCs w:val="24"/>
        </w:rPr>
        <w:t>(rédaction issue de Arrêté n° 1545 CM du 18 août 2025)</w:t>
      </w:r>
    </w:p>
    <w:p w14:paraId="2852CBCE" w14:textId="77777777" w:rsidR="00677E8D" w:rsidRPr="00677E8D" w:rsidRDefault="00677E8D"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p>
    <w:p w14:paraId="0FA6A413" w14:textId="5ABEE197" w:rsidR="00FE2714" w:rsidRDefault="00FE2714"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677E8D">
        <w:rPr>
          <w:rFonts w:ascii="Times New Roman" w:hAnsi="Times New Roman" w:cs="Times New Roman"/>
          <w:b/>
          <w:sz w:val="24"/>
          <w:szCs w:val="24"/>
        </w:rPr>
        <w:t>Chapitre Ier : Dispositions applicables à l’ensemble des contrats d’assurance</w:t>
      </w:r>
    </w:p>
    <w:p w14:paraId="67E14734" w14:textId="48757E91" w:rsidR="00677E8D" w:rsidRPr="00677E8D" w:rsidRDefault="00677E8D"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E401E2">
        <w:rPr>
          <w:rFonts w:ascii="Times New Roman" w:hAnsi="Times New Roman" w:cs="Times New Roman"/>
          <w:sz w:val="24"/>
          <w:szCs w:val="24"/>
        </w:rPr>
        <w:t>(rédaction issue de Arrêté n° 1545 CM du 18 août 2025)</w:t>
      </w:r>
    </w:p>
    <w:p w14:paraId="06F126D4" w14:textId="5E8550FF" w:rsidR="00FE2714" w:rsidRDefault="00FE2714"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677E8D">
        <w:rPr>
          <w:rFonts w:ascii="Times New Roman" w:hAnsi="Times New Roman" w:cs="Times New Roman"/>
          <w:b/>
          <w:sz w:val="24"/>
          <w:szCs w:val="24"/>
        </w:rPr>
        <w:t>Section I : Principes généraux</w:t>
      </w:r>
    </w:p>
    <w:p w14:paraId="3B813C0D" w14:textId="67E98A66" w:rsidR="00677E8D" w:rsidRPr="00677E8D" w:rsidRDefault="00677E8D"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E401E2">
        <w:rPr>
          <w:rFonts w:ascii="Times New Roman" w:hAnsi="Times New Roman" w:cs="Times New Roman"/>
          <w:sz w:val="24"/>
          <w:szCs w:val="24"/>
        </w:rPr>
        <w:t>(rédaction issue de Arrêté n° 1545 CM du 18 août 2025)</w:t>
      </w:r>
    </w:p>
    <w:p w14:paraId="6C6B46CA"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Néant</w:t>
      </w:r>
    </w:p>
    <w:p w14:paraId="6A87A0ED" w14:textId="056F566E" w:rsidR="00FE2714" w:rsidRDefault="00FE2714"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677E8D">
        <w:rPr>
          <w:rFonts w:ascii="Times New Roman" w:hAnsi="Times New Roman" w:cs="Times New Roman"/>
          <w:b/>
          <w:sz w:val="24"/>
          <w:szCs w:val="24"/>
        </w:rPr>
        <w:t>Section II : Information à fournir</w:t>
      </w:r>
    </w:p>
    <w:p w14:paraId="1B53789B" w14:textId="6C468016" w:rsidR="00677E8D" w:rsidRPr="00677E8D" w:rsidRDefault="00677E8D" w:rsidP="00677E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E401E2">
        <w:rPr>
          <w:rFonts w:ascii="Times New Roman" w:hAnsi="Times New Roman" w:cs="Times New Roman"/>
          <w:sz w:val="24"/>
          <w:szCs w:val="24"/>
        </w:rPr>
        <w:t>(rédaction issue de Arrêté n° 1545 CM du 18 août 2025)</w:t>
      </w:r>
    </w:p>
    <w:p w14:paraId="70359383" w14:textId="6B088D26" w:rsidR="00FE2714" w:rsidRPr="00677E8D"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b/>
          <w:sz w:val="24"/>
          <w:szCs w:val="24"/>
        </w:rPr>
      </w:pPr>
      <w:r w:rsidRPr="00677E8D">
        <w:rPr>
          <w:rFonts w:ascii="Times New Roman" w:hAnsi="Times New Roman" w:cs="Times New Roman"/>
          <w:b/>
          <w:sz w:val="24"/>
          <w:szCs w:val="24"/>
        </w:rPr>
        <w:t>Article A 521-1</w:t>
      </w:r>
      <w:r w:rsidR="00677E8D">
        <w:rPr>
          <w:rFonts w:ascii="Times New Roman" w:hAnsi="Times New Roman" w:cs="Times New Roman"/>
          <w:b/>
          <w:sz w:val="24"/>
          <w:szCs w:val="24"/>
        </w:rPr>
        <w:t xml:space="preserve"> </w:t>
      </w:r>
      <w:r w:rsidR="00677E8D" w:rsidRPr="00E401E2">
        <w:rPr>
          <w:rFonts w:ascii="Times New Roman" w:hAnsi="Times New Roman" w:cs="Times New Roman"/>
          <w:sz w:val="24"/>
          <w:szCs w:val="24"/>
        </w:rPr>
        <w:t>(rédaction issue de Arrêté n° 1545 CM du 18 août 2025)</w:t>
      </w:r>
    </w:p>
    <w:p w14:paraId="52690C9D"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En application de l’article LP 521-2, l’intermédiaire fournit au souscripteur éventuel ou à l’adhérent éventuel son nom ou sa dénomination sociale, son adresse professionnelle et son numéro d’immatriculation, et précise les moyens permettant de vérifier cette immatriculation. </w:t>
      </w:r>
    </w:p>
    <w:p w14:paraId="2315BEF9"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L’intermédiaire indique aussi toute participation détenue par lui, directe ou indirecte, supérieure à 10 % des droits de vote ou du capital d’une entreprise d’assurance. Toute participation, directe ou indirecte, supérieure à 10 % des droits de vote ou du capital de l’intermédiaire d’assurance, détenue par une entreprise d’assurance déterminée ou par l’entreprise mère d’une entreprise d’assurance déterminée doit être déclarée par cet intermédiaire. </w:t>
      </w:r>
    </w:p>
    <w:p w14:paraId="144C2B6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 xml:space="preserve">Tout intermédiaire qui exerce selon les modalités prévues au c) du II de l’article LP 521-2 indique également au souscripteur éventuel ou adhérent le nom de l’entreprise d’assurance ou du groupe d’assurance avec lequel il a enregistré au cours de l’année précédente un chiffre d’affaires pour son activité d’intermédiaire supérieur à 33 % du chiffre d’affaires total de ce même intermédiaire, au titre de son activité d’intermédiation. </w:t>
      </w:r>
    </w:p>
    <w:p w14:paraId="492ACDB0"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 xml:space="preserve">En vue du traitement d’éventuels différends, l’intermédiaire fournit les coordonnées et l’adresse de son service de réclamation quand il existe et de la Direction générale des affaires économiques. Il indique également les modalités de recours à un processus de médiation lorsque celui-ci existe. </w:t>
      </w:r>
    </w:p>
    <w:p w14:paraId="0A21B1A8" w14:textId="40284AAF"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677E8D">
        <w:rPr>
          <w:rFonts w:ascii="Times New Roman" w:hAnsi="Times New Roman" w:cs="Times New Roman"/>
          <w:b/>
          <w:sz w:val="24"/>
          <w:szCs w:val="24"/>
        </w:rPr>
        <w:t>Article A 521-2</w:t>
      </w:r>
      <w:r w:rsidR="00677E8D">
        <w:rPr>
          <w:rFonts w:ascii="Times New Roman" w:hAnsi="Times New Roman" w:cs="Times New Roman"/>
          <w:sz w:val="24"/>
          <w:szCs w:val="24"/>
        </w:rPr>
        <w:t xml:space="preserve"> </w:t>
      </w:r>
      <w:r w:rsidR="00677E8D" w:rsidRPr="00E401E2">
        <w:rPr>
          <w:rFonts w:ascii="Times New Roman" w:hAnsi="Times New Roman" w:cs="Times New Roman"/>
          <w:sz w:val="24"/>
          <w:szCs w:val="24"/>
        </w:rPr>
        <w:t>(rédaction issue de Arrêté n° 1545 CM du 18 août 2025)</w:t>
      </w:r>
    </w:p>
    <w:p w14:paraId="49A92FE8"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I- Le document d’information normalisé sur le produit d’assurance mentionné à l’article L 112-2 ainsi que toute autre information fournie par un distributeur en application des articles LP 521-1 à LP 521-3 et des articles LP 522-3 et LP 522-4, sont communiqués au souscripteur ou à l’adhérent de manière claire, exacte et non trompeuse.</w:t>
      </w:r>
    </w:p>
    <w:p w14:paraId="7A9FA1C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Si, en application des dispositions de l’article LP 521-6, ces informations sont communiquées au moyen d’un support durable autre que le papier, ou d’un site internet, un exemplaire sur support papier en est gratuitement fourni au souscripteur ou à l’adhérent à sa demande.</w:t>
      </w:r>
    </w:p>
    <w:p w14:paraId="590D7E7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 distributeur vérifie que la fourniture d’informations sur un support durable autre que le papier, ou au moyen d’un site internet, est appropriée à ses opérations commerciales avec le souscripteur ou l’adhérent. La fourniture par le souscripteur ou l’adhérent d’une adresse électronique à cette fin, dont la validité est vérifiée par le distributeur, constitue un élément de preuve à cet égard.</w:t>
      </w:r>
    </w:p>
    <w:p w14:paraId="75B8B5B3" w14:textId="187BDFA8"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677E8D">
        <w:rPr>
          <w:rFonts w:ascii="Times New Roman" w:hAnsi="Times New Roman" w:cs="Times New Roman"/>
          <w:b/>
          <w:sz w:val="24"/>
          <w:szCs w:val="24"/>
        </w:rPr>
        <w:t>Article A 521-3</w:t>
      </w:r>
      <w:r w:rsidR="00677E8D">
        <w:rPr>
          <w:rFonts w:ascii="Times New Roman" w:hAnsi="Times New Roman" w:cs="Times New Roman"/>
          <w:sz w:val="24"/>
          <w:szCs w:val="24"/>
        </w:rPr>
        <w:t xml:space="preserve"> </w:t>
      </w:r>
      <w:r w:rsidR="00677E8D" w:rsidRPr="00E401E2">
        <w:rPr>
          <w:rFonts w:ascii="Times New Roman" w:hAnsi="Times New Roman" w:cs="Times New Roman"/>
          <w:sz w:val="24"/>
          <w:szCs w:val="24"/>
        </w:rPr>
        <w:t>(rédaction issue de Arrêté n° 1545 CM du 18 août 2025)</w:t>
      </w:r>
    </w:p>
    <w:p w14:paraId="4A1F8F8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Dans le cas où l’assureur indique, lors de l’offre ou de la conclusion du contrat d’assurance vie ou de capitalisation, à un souscripteur éventuel ou à un adhérent éventuel des données chiffrées relatives au montant de possibles prestations en sus et au-delà des prestations convenues dans le contrat, il lui fournit un exemple de calcul de ces prestations, en appliquant à leur base trois taux d’intérêt différents. Il informe le souscripteur éventuel ou l’adhérent éventuel, de manière claire, exacte et non trompeuse, que cet exemple de calcul n’est que l’application d’un modèle fondé sur de pures hypothèses et que le souscripteur ou l’adhérent éventuel ne saurait tirer de cet exemple de calcul aucun droit contractuel. Ces dispositions ne s’appliquent pas aux contrats d’assurance vie comportant un terme.</w:t>
      </w:r>
    </w:p>
    <w:p w14:paraId="37D15541"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En outre, dans le cas où l’assureur a fourni une projection sur la possible évolution future de la participation aux bénéfices, il informe le souscripteur ou l’adhérent, dans le cadre de la plus prochaine information annuelle mentionnée à l’article L. 132-22, des écarts entre l’évolution constatée et la projection susmentionnée.</w:t>
      </w:r>
    </w:p>
    <w:p w14:paraId="74C06F15" w14:textId="28FE7640"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677E8D">
        <w:rPr>
          <w:rFonts w:ascii="Times New Roman" w:hAnsi="Times New Roman" w:cs="Times New Roman"/>
          <w:b/>
          <w:sz w:val="24"/>
          <w:szCs w:val="24"/>
        </w:rPr>
        <w:t>Article A 521-4</w:t>
      </w:r>
      <w:r w:rsidR="00677E8D">
        <w:rPr>
          <w:rFonts w:ascii="Times New Roman" w:hAnsi="Times New Roman" w:cs="Times New Roman"/>
          <w:sz w:val="24"/>
          <w:szCs w:val="24"/>
        </w:rPr>
        <w:t xml:space="preserve"> </w:t>
      </w:r>
      <w:r w:rsidR="00677E8D" w:rsidRPr="00E401E2">
        <w:rPr>
          <w:rFonts w:ascii="Times New Roman" w:hAnsi="Times New Roman" w:cs="Times New Roman"/>
          <w:sz w:val="24"/>
          <w:szCs w:val="24"/>
        </w:rPr>
        <w:t>(rédaction issue de Arrêté n° 1545 CM du 18 août 2025)</w:t>
      </w:r>
    </w:p>
    <w:p w14:paraId="15727BFB"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Toute correspondance ou publicité, quel qu’en soit le support, émanant d’un distributeur agissant en cette qualité doit indiquer son nom ou sa dénomination sociale, son adresse professionnelle et, le cas échéant, son numéro d’immatriculation d’intermédiaire. Si cette correspondance ou publicité concerne la souscription d’un contrat auprès d’une entreprise d’assurance ou l’adhésion à un tel contrat, ou expose en vue de cette souscription ou adhésion les conditions de souscription ou de garantie de ce contrat, elle doit en outre indiquer la dénomination sociale de l’entreprise d’assurance concernée.</w:t>
      </w:r>
    </w:p>
    <w:p w14:paraId="6C991294" w14:textId="77777777" w:rsidR="00913369" w:rsidRDefault="00FE2714"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677E8D">
        <w:rPr>
          <w:rFonts w:ascii="Times New Roman" w:hAnsi="Times New Roman" w:cs="Times New Roman"/>
          <w:b/>
          <w:sz w:val="24"/>
          <w:szCs w:val="24"/>
        </w:rPr>
        <w:t>Section III : Règles de conduite</w:t>
      </w:r>
    </w:p>
    <w:p w14:paraId="588AD4B7" w14:textId="476A9B58" w:rsidR="00677E8D" w:rsidRPr="00677E8D" w:rsidRDefault="00677E8D"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E401E2">
        <w:rPr>
          <w:rFonts w:ascii="Times New Roman" w:hAnsi="Times New Roman" w:cs="Times New Roman"/>
          <w:sz w:val="24"/>
          <w:szCs w:val="24"/>
        </w:rPr>
        <w:lastRenderedPageBreak/>
        <w:t>(rédaction issue de Arrêté n° 1545 CM du 18 août 2025)</w:t>
      </w:r>
    </w:p>
    <w:p w14:paraId="1765EC6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Néant</w:t>
      </w:r>
    </w:p>
    <w:p w14:paraId="3C2A922B" w14:textId="5FD6683E" w:rsidR="00FE2714" w:rsidRDefault="00FE2714"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913369">
        <w:rPr>
          <w:rFonts w:ascii="Times New Roman" w:hAnsi="Times New Roman" w:cs="Times New Roman"/>
          <w:b/>
          <w:sz w:val="24"/>
          <w:szCs w:val="24"/>
        </w:rPr>
        <w:t>Chapitre II : Exigences supplémentaires en ce qui concerne les contrats de capitalisation et certains contrats d’assurance vie</w:t>
      </w:r>
    </w:p>
    <w:p w14:paraId="3F69F43B" w14:textId="5ECB4FE0" w:rsidR="00913369" w:rsidRPr="00913369" w:rsidRDefault="00913369"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E401E2">
        <w:rPr>
          <w:rFonts w:ascii="Times New Roman" w:hAnsi="Times New Roman" w:cs="Times New Roman"/>
          <w:sz w:val="24"/>
          <w:szCs w:val="24"/>
        </w:rPr>
        <w:t>(rédaction issue de Arrêté n° 1545 CM du 18 août 2025)</w:t>
      </w:r>
    </w:p>
    <w:p w14:paraId="5C7C3ACF" w14:textId="77777777" w:rsidR="00913369" w:rsidRDefault="00FE2714"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913369">
        <w:rPr>
          <w:rFonts w:ascii="Times New Roman" w:hAnsi="Times New Roman" w:cs="Times New Roman"/>
          <w:b/>
          <w:sz w:val="24"/>
          <w:szCs w:val="24"/>
        </w:rPr>
        <w:t>Section I : Prévention des conflits d’intérêts</w:t>
      </w:r>
    </w:p>
    <w:p w14:paraId="48364D4B" w14:textId="692C1DB3" w:rsidR="00FE2714" w:rsidRDefault="00913369"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438890E9" w14:textId="77777777" w:rsidR="00913369" w:rsidRDefault="00913369"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ascii="Times New Roman" w:hAnsi="Times New Roman" w:cs="Times New Roman"/>
          <w:b/>
          <w:sz w:val="24"/>
          <w:szCs w:val="24"/>
        </w:rPr>
      </w:pPr>
    </w:p>
    <w:p w14:paraId="5ADB66B5" w14:textId="77777777" w:rsidR="00913369" w:rsidRPr="00913369" w:rsidRDefault="00913369"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p>
    <w:p w14:paraId="66400FA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Néant</w:t>
      </w:r>
    </w:p>
    <w:p w14:paraId="1BE90AF7" w14:textId="77777777" w:rsidR="00913369" w:rsidRDefault="00FE2714"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913369">
        <w:rPr>
          <w:rFonts w:ascii="Times New Roman" w:hAnsi="Times New Roman" w:cs="Times New Roman"/>
          <w:b/>
          <w:sz w:val="24"/>
          <w:szCs w:val="24"/>
        </w:rPr>
        <w:t>Section II : Information à fournir</w:t>
      </w:r>
    </w:p>
    <w:p w14:paraId="42A4AE71" w14:textId="24E90EC9" w:rsidR="00FE2714" w:rsidRDefault="00913369"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r w:rsidRPr="00E401E2">
        <w:rPr>
          <w:rFonts w:ascii="Times New Roman" w:hAnsi="Times New Roman" w:cs="Times New Roman"/>
          <w:sz w:val="24"/>
          <w:szCs w:val="24"/>
        </w:rPr>
        <w:t>(rédaction issue de Arrêté n° 1545 CM du 18 août 2025)</w:t>
      </w:r>
    </w:p>
    <w:p w14:paraId="510A7D8B" w14:textId="77777777" w:rsidR="00913369" w:rsidRPr="00913369" w:rsidRDefault="00913369"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szCs w:val="24"/>
        </w:rPr>
      </w:pPr>
    </w:p>
    <w:p w14:paraId="42C4F0C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Néant</w:t>
      </w:r>
    </w:p>
    <w:p w14:paraId="1856DAD1" w14:textId="50B905A0" w:rsidR="00FE2714" w:rsidRPr="00913369" w:rsidRDefault="00FE2714"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jc w:val="center"/>
        <w:rPr>
          <w:rFonts w:ascii="Times New Roman" w:hAnsi="Times New Roman" w:cs="Times New Roman"/>
          <w:b/>
          <w:sz w:val="24"/>
          <w:szCs w:val="24"/>
        </w:rPr>
      </w:pPr>
      <w:r w:rsidRPr="00913369">
        <w:rPr>
          <w:rFonts w:ascii="Times New Roman" w:hAnsi="Times New Roman" w:cs="Times New Roman"/>
          <w:b/>
          <w:sz w:val="24"/>
          <w:szCs w:val="24"/>
        </w:rPr>
        <w:t>Section III : Règles de conduite</w:t>
      </w:r>
    </w:p>
    <w:p w14:paraId="6519AE1A" w14:textId="7681A529" w:rsidR="00913369" w:rsidRPr="00FE2714" w:rsidRDefault="00913369" w:rsidP="0091336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sz w:val="24"/>
          <w:szCs w:val="24"/>
        </w:rPr>
      </w:pPr>
      <w:r w:rsidRPr="00E401E2">
        <w:rPr>
          <w:rFonts w:ascii="Times New Roman" w:hAnsi="Times New Roman" w:cs="Times New Roman"/>
          <w:sz w:val="24"/>
          <w:szCs w:val="24"/>
        </w:rPr>
        <w:t>(rédaction issue de Arrêté n° 1545 CM du 18 août 2025)</w:t>
      </w:r>
    </w:p>
    <w:p w14:paraId="57153E72" w14:textId="4BA0214B" w:rsidR="00FE2714" w:rsidRPr="00913369"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b/>
          <w:sz w:val="24"/>
          <w:szCs w:val="24"/>
        </w:rPr>
      </w:pPr>
      <w:r w:rsidRPr="00913369">
        <w:rPr>
          <w:rFonts w:ascii="Times New Roman" w:hAnsi="Times New Roman" w:cs="Times New Roman"/>
          <w:b/>
          <w:sz w:val="24"/>
          <w:szCs w:val="24"/>
        </w:rPr>
        <w:t>Article A 522-1</w:t>
      </w:r>
      <w:r w:rsidR="00913369">
        <w:rPr>
          <w:rFonts w:ascii="Times New Roman" w:hAnsi="Times New Roman" w:cs="Times New Roman"/>
          <w:b/>
          <w:sz w:val="24"/>
          <w:szCs w:val="24"/>
        </w:rPr>
        <w:t xml:space="preserve"> </w:t>
      </w:r>
      <w:r w:rsidR="00913369" w:rsidRPr="00E401E2">
        <w:rPr>
          <w:rFonts w:ascii="Times New Roman" w:hAnsi="Times New Roman" w:cs="Times New Roman"/>
          <w:sz w:val="24"/>
          <w:szCs w:val="24"/>
        </w:rPr>
        <w:t>(rédaction issue de Arrêté n° 1545 CM du 18 août 2025)</w:t>
      </w:r>
    </w:p>
    <w:p w14:paraId="65096FEE"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L’information mentionnée au quatrième alinéa de l’article LP 522-5 contient une énonciation des unités de compte de référence et, pour chaque unité de compte, une indication :</w:t>
      </w:r>
    </w:p>
    <w:p w14:paraId="3617F978"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1)</w:t>
      </w:r>
      <w:r w:rsidRPr="00FE2714">
        <w:rPr>
          <w:rFonts w:ascii="Times New Roman" w:hAnsi="Times New Roman" w:cs="Times New Roman"/>
          <w:sz w:val="24"/>
          <w:szCs w:val="24"/>
        </w:rPr>
        <w:tab/>
        <w:t>De la performance de l’actif de représentation de l’unité de compte au cours du dernier exercice clos, brute de frais de gestion, exprimée en pourcentage ;</w:t>
      </w:r>
    </w:p>
    <w:p w14:paraId="50CA3BAC"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2)</w:t>
      </w:r>
      <w:r w:rsidRPr="00FE2714">
        <w:rPr>
          <w:rFonts w:ascii="Times New Roman" w:hAnsi="Times New Roman" w:cs="Times New Roman"/>
          <w:sz w:val="24"/>
          <w:szCs w:val="24"/>
        </w:rPr>
        <w:tab/>
        <w:t xml:space="preserve">Des frais de gestion prélevés sur l’actif de représentation de l’unité de compte au cours du dernier exercice clos, exprimés en pourcentage ; </w:t>
      </w:r>
    </w:p>
    <w:p w14:paraId="79600F78"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3)</w:t>
      </w:r>
      <w:r w:rsidRPr="00FE2714">
        <w:rPr>
          <w:rFonts w:ascii="Times New Roman" w:hAnsi="Times New Roman" w:cs="Times New Roman"/>
          <w:sz w:val="24"/>
          <w:szCs w:val="24"/>
        </w:rPr>
        <w:tab/>
        <w:t xml:space="preserve">De la performance de l’unité de compte au cours du dernier exercice clos, nette des frais de gestion mentionné au 2), exprimée en pourcentage ; </w:t>
      </w:r>
    </w:p>
    <w:p w14:paraId="753E7490"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4)</w:t>
      </w:r>
      <w:r w:rsidRPr="00FE2714">
        <w:rPr>
          <w:rFonts w:ascii="Times New Roman" w:hAnsi="Times New Roman" w:cs="Times New Roman"/>
          <w:sz w:val="24"/>
          <w:szCs w:val="24"/>
        </w:rPr>
        <w:tab/>
        <w:t xml:space="preserve">Des frais récurrents prélevés sur le contrat, exprimés en pourcentage ; </w:t>
      </w:r>
    </w:p>
    <w:p w14:paraId="780AAFD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5)</w:t>
      </w:r>
      <w:r w:rsidRPr="00FE2714">
        <w:rPr>
          <w:rFonts w:ascii="Times New Roman" w:hAnsi="Times New Roman" w:cs="Times New Roman"/>
          <w:sz w:val="24"/>
          <w:szCs w:val="24"/>
        </w:rPr>
        <w:tab/>
        <w:t xml:space="preserve">De la performance finale de l’investissement au cours du dernier exercice clos, nette des frais de gestion et des frais récurrents mentionnés au 2 et 4, exprimée en pourcentage ; </w:t>
      </w:r>
    </w:p>
    <w:p w14:paraId="4D0800B4"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6)</w:t>
      </w:r>
      <w:r w:rsidRPr="00FE2714">
        <w:rPr>
          <w:rFonts w:ascii="Times New Roman" w:hAnsi="Times New Roman" w:cs="Times New Roman"/>
          <w:sz w:val="24"/>
          <w:szCs w:val="24"/>
        </w:rPr>
        <w:tab/>
        <w:t>De la quotité de frais ayant donné lieu à des rétrocessions de commission au profit des intermédiaires d’assurance, des gestionnaires délégués, du dépositaire ou de l’entreprise d’assurance, au cours du dernier exercice clos.</w:t>
      </w:r>
    </w:p>
    <w:p w14:paraId="470FC525"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Les frais mentionnés au 2) correspondent aux frais courants représentant tous les frais annuels et autres paiements prélevés sur les actifs de l’Organisme de Placement Collectif en Valeurs Mobilières (OPCVM ) au cours de la période définie.</w:t>
      </w:r>
    </w:p>
    <w:p w14:paraId="430AE86B"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lastRenderedPageBreak/>
        <w:t>Les frais récurrents du contrat mentionné au 4) incluent notamment les frais de gestion du contrat sur les unités de compte et, le cas échéant, les frais liés au financement de l’association souscriptrice.</w:t>
      </w:r>
    </w:p>
    <w:p w14:paraId="148331C2"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r w:rsidRPr="00FE2714">
        <w:rPr>
          <w:rFonts w:ascii="Times New Roman" w:hAnsi="Times New Roman" w:cs="Times New Roman"/>
          <w:sz w:val="24"/>
          <w:szCs w:val="24"/>
        </w:rPr>
        <w:t>Cette information peut être présentée sous la forme d’un tableau qui figure en annexe 5-3.</w:t>
      </w:r>
    </w:p>
    <w:p w14:paraId="08188DA3" w14:textId="77777777" w:rsidR="00FE2714" w:rsidRPr="00FE2714" w:rsidRDefault="00FE2714" w:rsidP="00FE27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imes New Roman" w:hAnsi="Times New Roman" w:cs="Times New Roman"/>
          <w:sz w:val="24"/>
          <w:szCs w:val="24"/>
        </w:rPr>
      </w:pPr>
    </w:p>
    <w:p w14:paraId="42CA31CE" w14:textId="6FA17E58" w:rsidR="00F24BB4" w:rsidRDefault="00926999" w:rsidP="00926999">
      <w:pPr>
        <w:rPr>
          <w:sz w:val="24"/>
        </w:rPr>
      </w:pPr>
      <w:r>
        <w:rPr>
          <w:sz w:val="24"/>
        </w:rPr>
        <w:br w:type="page"/>
      </w:r>
    </w:p>
    <w:p w14:paraId="279D1973" w14:textId="77777777" w:rsidR="00F24BB4" w:rsidRPr="00926999" w:rsidRDefault="00F24BB4" w:rsidP="00F24BB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Times New Roman" w:hAnsi="Times New Roman" w:cs="Times New Roman"/>
          <w:b/>
          <w:sz w:val="24"/>
        </w:rPr>
      </w:pPr>
      <w:r w:rsidRPr="00926999">
        <w:rPr>
          <w:rFonts w:ascii="Times New Roman" w:hAnsi="Times New Roman" w:cs="Times New Roman"/>
          <w:b/>
          <w:sz w:val="24"/>
        </w:rPr>
        <w:lastRenderedPageBreak/>
        <w:t>ANNEXES</w:t>
      </w:r>
    </w:p>
    <w:p w14:paraId="50E62419" w14:textId="77777777" w:rsidR="00F24BB4" w:rsidRPr="00926999" w:rsidRDefault="00F24BB4" w:rsidP="00F24BB4">
      <w:pPr>
        <w:tabs>
          <w:tab w:val="right" w:pos="142"/>
        </w:tabs>
        <w:jc w:val="center"/>
        <w:rPr>
          <w:rFonts w:ascii="Times New Roman" w:hAnsi="Times New Roman" w:cs="Times New Roman"/>
          <w:b/>
          <w:sz w:val="24"/>
        </w:rPr>
      </w:pPr>
      <w:r w:rsidRPr="00926999">
        <w:rPr>
          <w:rFonts w:ascii="Times New Roman" w:hAnsi="Times New Roman" w:cs="Times New Roman"/>
          <w:b/>
          <w:sz w:val="24"/>
        </w:rPr>
        <w:t>CODE DES ASSURANCES APPLICABLE EN POLYNESIE FRANÇAISE</w:t>
      </w:r>
    </w:p>
    <w:p w14:paraId="2803AC53" w14:textId="77777777" w:rsidR="00F24BB4" w:rsidRPr="00926999" w:rsidRDefault="00F24BB4" w:rsidP="00F24BB4">
      <w:pPr>
        <w:tabs>
          <w:tab w:val="right" w:pos="142"/>
        </w:tabs>
        <w:jc w:val="center"/>
        <w:rPr>
          <w:rFonts w:ascii="Times New Roman" w:hAnsi="Times New Roman" w:cs="Times New Roman"/>
          <w:b/>
          <w:sz w:val="24"/>
        </w:rPr>
      </w:pPr>
      <w:r w:rsidRPr="00926999">
        <w:rPr>
          <w:rFonts w:ascii="Times New Roman" w:hAnsi="Times New Roman" w:cs="Times New Roman"/>
          <w:b/>
          <w:sz w:val="24"/>
        </w:rPr>
        <w:t>(Partie Arrêtés)</w:t>
      </w:r>
    </w:p>
    <w:p w14:paraId="2FF6AC71" w14:textId="77777777" w:rsidR="00F24BB4" w:rsidRDefault="00F24BB4" w:rsidP="00F24BB4">
      <w:pPr>
        <w:tabs>
          <w:tab w:val="right" w:pos="142"/>
        </w:tabs>
        <w:jc w:val="both"/>
        <w:rPr>
          <w:sz w:val="24"/>
        </w:rPr>
      </w:pPr>
    </w:p>
    <w:p w14:paraId="25423F0C" w14:textId="77777777" w:rsidR="00F24BB4" w:rsidRDefault="00F24BB4" w:rsidP="00F24BB4">
      <w:pPr>
        <w:tabs>
          <w:tab w:val="right" w:pos="142"/>
        </w:tabs>
        <w:jc w:val="both"/>
        <w:rPr>
          <w:sz w:val="24"/>
        </w:rPr>
      </w:pPr>
    </w:p>
    <w:p w14:paraId="4CF64450" w14:textId="6FBF6575" w:rsidR="00F24BB4" w:rsidRPr="00913369" w:rsidRDefault="00F24BB4" w:rsidP="00FE2714">
      <w:pPr>
        <w:jc w:val="center"/>
        <w:rPr>
          <w:rFonts w:ascii="Times New Roman" w:eastAsia="Calibri" w:hAnsi="Times New Roman" w:cs="Times New Roman"/>
          <w:b/>
          <w:sz w:val="28"/>
          <w:szCs w:val="28"/>
        </w:rPr>
      </w:pPr>
      <w:r w:rsidRPr="00913369">
        <w:rPr>
          <w:rFonts w:ascii="Times New Roman" w:eastAsia="Calibri" w:hAnsi="Times New Roman" w:cs="Times New Roman"/>
          <w:b/>
          <w:sz w:val="28"/>
          <w:szCs w:val="28"/>
        </w:rPr>
        <w:t>Annexe 3-1</w:t>
      </w:r>
    </w:p>
    <w:p w14:paraId="1C633346" w14:textId="6CBCA846" w:rsidR="00F24BB4" w:rsidRPr="00913369" w:rsidRDefault="00F24BB4" w:rsidP="00F24BB4">
      <w:pPr>
        <w:spacing w:after="200" w:line="276" w:lineRule="auto"/>
        <w:jc w:val="both"/>
        <w:rPr>
          <w:rFonts w:ascii="Times New Roman" w:hAnsi="Times New Roman" w:cs="Times New Roman"/>
          <w:sz w:val="24"/>
          <w:szCs w:val="24"/>
        </w:rPr>
      </w:pPr>
      <w:r w:rsidRPr="00913369">
        <w:rPr>
          <w:rFonts w:ascii="Times New Roman" w:hAnsi="Times New Roman" w:cs="Times New Roman"/>
          <w:sz w:val="24"/>
          <w:szCs w:val="24"/>
        </w:rPr>
        <w:t xml:space="preserve">Les Etats ou territoires qui remplissent les conditions fixées à l’article LP 321-2  du code des assurances applicable en Polynésie française sont les suivants : </w:t>
      </w:r>
    </w:p>
    <w:p w14:paraId="24B2C6AB" w14:textId="77777777" w:rsidR="00F24BB4" w:rsidRPr="00913369" w:rsidRDefault="00F24BB4" w:rsidP="00F24BB4">
      <w:pPr>
        <w:jc w:val="both"/>
        <w:rPr>
          <w:rFonts w:ascii="Times New Roman" w:hAnsi="Times New Roman" w:cs="Times New Roman"/>
          <w:i/>
          <w:sz w:val="24"/>
        </w:rPr>
      </w:pPr>
      <w:r w:rsidRPr="00913369">
        <w:rPr>
          <w:rFonts w:ascii="Times New Roman" w:hAnsi="Times New Roman" w:cs="Times New Roman"/>
          <w:i/>
          <w:sz w:val="24"/>
        </w:rPr>
        <w:t xml:space="preserve">(Liste actualisée au fur et à mesure de la conclusion des accords de coopération) </w:t>
      </w:r>
    </w:p>
    <w:p w14:paraId="3234B67E" w14:textId="77777777" w:rsidR="00F24BB4" w:rsidRPr="00913369" w:rsidRDefault="00F24BB4" w:rsidP="00F24BB4">
      <w:pPr>
        <w:rPr>
          <w:rFonts w:ascii="Times New Roman" w:eastAsia="Calibri" w:hAnsi="Times New Roman" w:cs="Times New Roman"/>
          <w:sz w:val="32"/>
          <w:szCs w:val="32"/>
        </w:rPr>
      </w:pPr>
    </w:p>
    <w:p w14:paraId="2B49CB3A" w14:textId="77777777" w:rsidR="00F24BB4" w:rsidRPr="00913369" w:rsidRDefault="00F24BB4" w:rsidP="00F24BB4">
      <w:pPr>
        <w:tabs>
          <w:tab w:val="right" w:pos="142"/>
        </w:tabs>
        <w:jc w:val="both"/>
        <w:rPr>
          <w:rFonts w:ascii="Times New Roman" w:hAnsi="Times New Roman" w:cs="Times New Roman"/>
          <w:sz w:val="24"/>
        </w:rPr>
      </w:pPr>
    </w:p>
    <w:p w14:paraId="4906468A" w14:textId="77777777" w:rsidR="00F24BB4" w:rsidRPr="00913369" w:rsidRDefault="00F24BB4" w:rsidP="00F24BB4">
      <w:pPr>
        <w:tabs>
          <w:tab w:val="right" w:pos="142"/>
        </w:tabs>
        <w:jc w:val="both"/>
        <w:rPr>
          <w:rFonts w:ascii="Times New Roman" w:hAnsi="Times New Roman" w:cs="Times New Roman"/>
          <w:sz w:val="24"/>
        </w:rPr>
      </w:pPr>
    </w:p>
    <w:p w14:paraId="6FAB9C06" w14:textId="1C908808" w:rsidR="00F24BB4" w:rsidRPr="00913369" w:rsidRDefault="00F24BB4" w:rsidP="00FE2714">
      <w:pPr>
        <w:jc w:val="center"/>
        <w:rPr>
          <w:rFonts w:ascii="Times New Roman" w:eastAsia="Calibri" w:hAnsi="Times New Roman" w:cs="Times New Roman"/>
          <w:b/>
          <w:sz w:val="28"/>
          <w:szCs w:val="28"/>
        </w:rPr>
      </w:pPr>
      <w:r w:rsidRPr="00913369">
        <w:rPr>
          <w:rFonts w:ascii="Times New Roman" w:eastAsia="Calibri" w:hAnsi="Times New Roman" w:cs="Times New Roman"/>
          <w:b/>
          <w:sz w:val="28"/>
          <w:szCs w:val="28"/>
        </w:rPr>
        <w:t>Annexe 3-2</w:t>
      </w:r>
    </w:p>
    <w:p w14:paraId="258D8951" w14:textId="77777777" w:rsidR="00F24BB4" w:rsidRPr="00913369" w:rsidRDefault="00F24BB4" w:rsidP="00F24BB4">
      <w:pPr>
        <w:jc w:val="center"/>
        <w:rPr>
          <w:rFonts w:ascii="Times New Roman" w:hAnsi="Times New Roman" w:cs="Times New Roman"/>
          <w:b/>
          <w:sz w:val="24"/>
          <w:szCs w:val="24"/>
        </w:rPr>
      </w:pPr>
      <w:r w:rsidRPr="00913369">
        <w:rPr>
          <w:rFonts w:ascii="Times New Roman" w:hAnsi="Times New Roman" w:cs="Times New Roman"/>
          <w:b/>
          <w:sz w:val="24"/>
          <w:szCs w:val="24"/>
        </w:rPr>
        <w:t xml:space="preserve">Composition du dossier de demande d’agrément administratif </w:t>
      </w:r>
      <w:r w:rsidRPr="00913369">
        <w:rPr>
          <w:rFonts w:ascii="Times New Roman" w:eastAsia="Calibri" w:hAnsi="Times New Roman" w:cs="Times New Roman"/>
          <w:b/>
          <w:sz w:val="24"/>
          <w:szCs w:val="24"/>
        </w:rPr>
        <w:t>prévu à l’article LP 321-1</w:t>
      </w:r>
      <w:r w:rsidRPr="00913369">
        <w:rPr>
          <w:rFonts w:ascii="Times New Roman" w:hAnsi="Times New Roman" w:cs="Times New Roman"/>
          <w:b/>
          <w:sz w:val="24"/>
          <w:szCs w:val="24"/>
        </w:rPr>
        <w:t xml:space="preserve"> ou d’extension d’agrément administratif présentée par une entreprise d’assurance</w:t>
      </w:r>
    </w:p>
    <w:p w14:paraId="41D9BB12" w14:textId="77777777" w:rsidR="00F24BB4" w:rsidRPr="00913369" w:rsidRDefault="00F24BB4" w:rsidP="00F24BB4">
      <w:pPr>
        <w:rPr>
          <w:rFonts w:ascii="Times New Roman" w:eastAsia="Calibri" w:hAnsi="Times New Roman" w:cs="Times New Roman"/>
          <w:sz w:val="28"/>
          <w:szCs w:val="28"/>
        </w:rPr>
      </w:pPr>
    </w:p>
    <w:p w14:paraId="58EA88CA" w14:textId="77777777" w:rsidR="00F24BB4" w:rsidRPr="00913369" w:rsidRDefault="00F24BB4" w:rsidP="00F24BB4">
      <w:pPr>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Ces documents peuvent être transmis par voie électronique à la Direction générale des affaires économiques.</w:t>
      </w:r>
    </w:p>
    <w:p w14:paraId="388E92C3" w14:textId="77777777" w:rsidR="00F24BB4" w:rsidRPr="00913369" w:rsidRDefault="00F24BB4" w:rsidP="00F24BB4">
      <w:pPr>
        <w:rPr>
          <w:rFonts w:ascii="Times New Roman" w:eastAsia="Calibri" w:hAnsi="Times New Roman" w:cs="Times New Roman"/>
          <w:sz w:val="28"/>
          <w:szCs w:val="28"/>
        </w:rPr>
      </w:pPr>
    </w:p>
    <w:p w14:paraId="50A11376" w14:textId="77777777" w:rsidR="00F24BB4" w:rsidRPr="00913369" w:rsidRDefault="00F24BB4" w:rsidP="00F24BB4">
      <w:pPr>
        <w:autoSpaceDE w:val="0"/>
        <w:autoSpaceDN w:val="0"/>
        <w:adjustRightInd w:val="0"/>
        <w:jc w:val="both"/>
        <w:rPr>
          <w:rFonts w:ascii="Times New Roman" w:eastAsia="Calibri" w:hAnsi="Times New Roman" w:cs="Times New Roman"/>
          <w:b/>
          <w:sz w:val="24"/>
          <w:szCs w:val="24"/>
        </w:rPr>
      </w:pPr>
      <w:r w:rsidRPr="00913369">
        <w:rPr>
          <w:rFonts w:ascii="Times New Roman" w:eastAsia="Calibri" w:hAnsi="Times New Roman" w:cs="Times New Roman"/>
          <w:b/>
          <w:sz w:val="24"/>
          <w:szCs w:val="24"/>
        </w:rPr>
        <w:t xml:space="preserve">I. Pour les entreprises d’assurance ayant leur siège social en Polynésie française </w:t>
      </w:r>
    </w:p>
    <w:p w14:paraId="4E7480CA" w14:textId="77777777" w:rsidR="00F24BB4" w:rsidRPr="00913369" w:rsidRDefault="00F24BB4" w:rsidP="00F24BB4">
      <w:pPr>
        <w:autoSpaceDE w:val="0"/>
        <w:autoSpaceDN w:val="0"/>
        <w:adjustRightInd w:val="0"/>
        <w:jc w:val="both"/>
        <w:rPr>
          <w:rFonts w:ascii="Times New Roman" w:eastAsia="Calibri" w:hAnsi="Times New Roman" w:cs="Times New Roman"/>
          <w:sz w:val="24"/>
          <w:szCs w:val="24"/>
        </w:rPr>
      </w:pPr>
    </w:p>
    <w:p w14:paraId="667DA6F0" w14:textId="77777777" w:rsidR="00F24BB4" w:rsidRPr="00913369" w:rsidRDefault="00F24BB4" w:rsidP="00F24BB4">
      <w:pPr>
        <w:autoSpaceDE w:val="0"/>
        <w:autoSpaceDN w:val="0"/>
        <w:adjustRightInd w:val="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Les pièces à produire lors de la demande d’agrément administratif prévu à l’article LP 321-1 sont les suivantes : </w:t>
      </w:r>
    </w:p>
    <w:p w14:paraId="7D7A320E" w14:textId="77777777" w:rsidR="00F24BB4" w:rsidRPr="00913369" w:rsidRDefault="00F24BB4" w:rsidP="00F24BB4">
      <w:pPr>
        <w:autoSpaceDE w:val="0"/>
        <w:autoSpaceDN w:val="0"/>
        <w:adjustRightInd w:val="0"/>
        <w:jc w:val="both"/>
        <w:rPr>
          <w:rFonts w:ascii="Times New Roman" w:eastAsia="Calibri" w:hAnsi="Times New Roman" w:cs="Times New Roman"/>
          <w:sz w:val="24"/>
          <w:szCs w:val="24"/>
        </w:rPr>
      </w:pPr>
    </w:p>
    <w:p w14:paraId="53DF405D"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a) La liste, établie en conformité avec l’article DEL 321-1, des branches que l’entreprise d’assurance se propose de pratiquer ; </w:t>
      </w:r>
    </w:p>
    <w:p w14:paraId="36B52499"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b) Les documents constitutifs de l’organisme : un des doubles de l’acte constitutif de l’organisme s’il est sous seing privé, ou une expédition du document s’il est authentique, le numéro TAHITI et l’identifiant international d’entité juridique.</w:t>
      </w:r>
    </w:p>
    <w:p w14:paraId="5E49E23D"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c) Le procès-verbal de l’assemblée générale constitutive ;</w:t>
      </w:r>
    </w:p>
    <w:p w14:paraId="53792423"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d) Un exemplaire des statuts ; </w:t>
      </w:r>
    </w:p>
    <w:p w14:paraId="696C34B8"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lastRenderedPageBreak/>
        <w:t xml:space="preserve">e) Les documents suivants : </w:t>
      </w:r>
    </w:p>
    <w:p w14:paraId="772F6729"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La liste des membres du conseil d’administration ou du conseil de surveillance. </w:t>
      </w:r>
    </w:p>
    <w:p w14:paraId="70957472"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Le formulaire de nomination ou de renouvellement de dirigeant ainsi que les documents prévus à l’annexe 3-3 pour le directeur général, les directeurs généraux délégués, le directeur général unique, les membres du directoire ou le dirigeant ainsi que de toute personne appelée à exercer des fonctions équivalentes. </w:t>
      </w:r>
    </w:p>
    <w:p w14:paraId="30A130A0"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Pour les entreprises relevant du régime prudentiel renforcé mentionnées à l’article DEL 323-3, les entreprises doivent indiquer le nom et les fonctions au sein de l’entreprise des dirigeants effectifs et fournissent le formulaire de nomination ou de renouvellement ainsi que les documents prévus à l’annexe 3-3 ; </w:t>
      </w:r>
    </w:p>
    <w:p w14:paraId="32D343AA"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f) </w:t>
      </w:r>
      <w:bookmarkStart w:id="18" w:name="_Hlk207369195"/>
      <w:r w:rsidRPr="00913369">
        <w:rPr>
          <w:rFonts w:ascii="Times New Roman" w:eastAsia="Calibri" w:hAnsi="Times New Roman" w:cs="Times New Roman"/>
          <w:sz w:val="24"/>
          <w:szCs w:val="24"/>
        </w:rPr>
        <w:t xml:space="preserve">Un programme d’activités comprenant les pièces suivantes : </w:t>
      </w:r>
    </w:p>
    <w:p w14:paraId="6DD7ACEB"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1. Un document précisant la nature des risques que l’organisme se propose de garantir ou des engagements qu’il propose de prendre, et le rattachement aux différentes branches d’agréments sollicitées ; </w:t>
      </w:r>
    </w:p>
    <w:p w14:paraId="06119D40"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2. Une note technique exposant le mode d’établissement des tarifs et les bases de calcul des diverses catégories de primes ; </w:t>
      </w:r>
    </w:p>
    <w:p w14:paraId="6CCA46B0"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3. Les principes directeurs que l’organisme se propose de suivre en matière de réassurance, la liste des principaux réassureurs pressentis et les éléments de nature à démontrer leur intention de contracter avec l’organisme ; </w:t>
      </w:r>
    </w:p>
    <w:p w14:paraId="2706AEBF"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4. La description de l’organisation administrative et commerciale et des moyens en personnel et en matériel dont dispose l’organisme ; les prévisions de frais d’installation des services administratifs et du réseau de production, ainsi que les moyens financiers destinés à y faire face ; </w:t>
      </w:r>
    </w:p>
    <w:p w14:paraId="466AA2F0"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5. Pour les entreprises relevant du régime prudentiel renforcé mentionnées à l’article DEL 323-3, la description de l’adéquation du système de gouvernance mis en place par l’organisme à l’article DEL 323-34. Pour les responsables de fonctions clés, les dossiers relatifs aux exigences d’honorabilité et compétence sont à fournir conformément à l’article A 322-1 ; </w:t>
      </w:r>
    </w:p>
    <w:p w14:paraId="03F9AAF5" w14:textId="77777777" w:rsidR="00F24BB4" w:rsidRPr="00913369" w:rsidRDefault="00F24BB4" w:rsidP="00F24BB4">
      <w:pPr>
        <w:spacing w:before="100" w:beforeAutospacing="1"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6. Dans le cas où l'entreprise se proposerait de couvrir les risques définis à la branche 17 de l'article DEL 321-1, les informations mentionnées à l’article A 331-1 ; </w:t>
      </w:r>
    </w:p>
    <w:p w14:paraId="1C201D59"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7. Pour la branche 18, les moyens en personnels et matériels dont dispose l’organisme, par lui-même ou par personne interposée, pour faire face à ses engagements ; </w:t>
      </w:r>
    </w:p>
    <w:p w14:paraId="1712967B"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8. Pour les trois premiers exercices comptables d’activité : les comptes de résultats et bilans prévisionnels ainsi que le détail des hypothèses retenues (principes de tarification, nature des produits, sinistralité, évolution des frais généraux, rendement des placements) ; </w:t>
      </w:r>
    </w:p>
    <w:p w14:paraId="3F23BA89"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9.1 Pour les entreprises relevant du régime prudentiel de base mentionnées à l’article DEL 323-2, pour les mêmes exercices : </w:t>
      </w:r>
    </w:p>
    <w:p w14:paraId="58B7E90B"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lastRenderedPageBreak/>
        <w:t xml:space="preserve">• les prévisions relatives aux moyens financiers destinés à la couverture des engagements ; </w:t>
      </w:r>
    </w:p>
    <w:p w14:paraId="22742B95"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les prévisions relatives à la marge de solvabilité ; </w:t>
      </w:r>
    </w:p>
    <w:p w14:paraId="5DB8ABC6"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les prévisions de trésorerie. </w:t>
      </w:r>
    </w:p>
    <w:p w14:paraId="10A2B10F"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9.2. Pour les entreprises relevant du régime prudentiel renforcé mentionnées à l’article DEL 323-3, pour les mêmes exercices : </w:t>
      </w:r>
    </w:p>
    <w:p w14:paraId="4C6F5607" w14:textId="46BF0D96"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la détermination détaillée (actifs et passifs) des fonds propres de base éligibles permettant la couverture du minimum de capital requis prévu à l’article DEL 323-22, et des fonds propres éligibles permettant la couverture du capital de solvabilité requis prévu à l’article DEL 323-20 ;</w:t>
      </w:r>
    </w:p>
    <w:p w14:paraId="6644329E" w14:textId="20A07541"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les prévisions relatives au futur capital de solvabilité requis prévu à l’article DEL 323-20, sur la base du bilan prévisionnel, ainsi que les méthodes de calcul utilisées ; </w:t>
      </w:r>
    </w:p>
    <w:p w14:paraId="6156BCB3" w14:textId="039669CF"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les prévisions relatives à la situation financière destinée à la couverture des provisions techniques, du minimum de capital requis et du capital de solvabilité requis</w:t>
      </w:r>
      <w:r w:rsidR="00DD2A6E">
        <w:rPr>
          <w:rFonts w:ascii="Times New Roman" w:eastAsia="Calibri" w:hAnsi="Times New Roman" w:cs="Times New Roman"/>
          <w:sz w:val="24"/>
          <w:szCs w:val="24"/>
        </w:rPr>
        <w:t xml:space="preserve"> </w:t>
      </w:r>
      <w:r w:rsidRPr="00913369">
        <w:rPr>
          <w:rFonts w:ascii="Times New Roman" w:eastAsia="Calibri" w:hAnsi="Times New Roman" w:cs="Times New Roman"/>
          <w:sz w:val="24"/>
          <w:szCs w:val="24"/>
        </w:rPr>
        <w:t xml:space="preserve">; </w:t>
      </w:r>
    </w:p>
    <w:p w14:paraId="57920F0B"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les prévisions de trésorerie. </w:t>
      </w:r>
    </w:p>
    <w:p w14:paraId="1958080B" w14:textId="2A791E91" w:rsidR="00F24BB4" w:rsidRPr="00913369" w:rsidRDefault="00F24BB4" w:rsidP="00F24BB4">
      <w:pPr>
        <w:jc w:val="both"/>
        <w:rPr>
          <w:rFonts w:ascii="Times New Roman" w:eastAsia="Calibri" w:hAnsi="Times New Roman" w:cs="Times New Roman"/>
          <w:sz w:val="24"/>
          <w:szCs w:val="24"/>
        </w:rPr>
      </w:pPr>
      <w:r w:rsidRPr="00913369">
        <w:rPr>
          <w:rFonts w:ascii="Times New Roman" w:hAnsi="Times New Roman" w:cs="Times New Roman"/>
          <w:sz w:val="24"/>
          <w:szCs w:val="24"/>
        </w:rPr>
        <w:t xml:space="preserve">10. La justification des éléments, des listes ou des certificats détaillant les modalités de constitution du </w:t>
      </w:r>
      <w:r w:rsidRPr="00913369">
        <w:rPr>
          <w:rFonts w:ascii="Times New Roman" w:eastAsia="Calibri" w:hAnsi="Times New Roman" w:cs="Times New Roman"/>
          <w:sz w:val="24"/>
          <w:szCs w:val="24"/>
        </w:rPr>
        <w:t>minimum absolu de marge de solvabilité ou du minimum de capital requis mentionnés respectivement aux articles DEL 323-11 et DEL 323-30</w:t>
      </w:r>
      <w:r w:rsidR="00DD2A6E">
        <w:rPr>
          <w:rFonts w:ascii="Times New Roman" w:eastAsia="Calibri" w:hAnsi="Times New Roman" w:cs="Times New Roman"/>
          <w:sz w:val="24"/>
          <w:szCs w:val="24"/>
        </w:rPr>
        <w:t xml:space="preserve"> </w:t>
      </w:r>
      <w:r w:rsidRPr="00913369">
        <w:rPr>
          <w:rFonts w:ascii="Times New Roman" w:eastAsia="Calibri" w:hAnsi="Times New Roman" w:cs="Times New Roman"/>
          <w:sz w:val="24"/>
          <w:szCs w:val="24"/>
        </w:rPr>
        <w:t>;</w:t>
      </w:r>
    </w:p>
    <w:bookmarkEnd w:id="18"/>
    <w:p w14:paraId="613948D0" w14:textId="77777777" w:rsidR="00F24BB4" w:rsidRPr="00913369" w:rsidRDefault="00F24BB4" w:rsidP="00F24BB4">
      <w:pPr>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w:t>
      </w:r>
    </w:p>
    <w:p w14:paraId="6DAB43F4"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g) Dans le cas d’une société anonyme, la liste des actionnaires détenant 5 % ou plus du capital ou des droits de vote ainsi que la part du capital social et des droits de vote détenue par chacun d’eux. Est considéré comme actionnaire unique pour l’application des présentes dispositions, tout groupe d’actionnaires liés entre eux, soit parce que l’un détient le contrôle direct ou indirect de l’autre, soit parce qu’ils sont directement ou indirectement contrôlés par la même personne, soit parce qu’ils sont liés par un pacte d’actionnaires ou par tout accord général ou particulier ayant le même effet qu’un pacte d’actionnaires. Dans ce cas, la liste des personnes appartenant au groupe d’actionnaires, et l’indication de la part détenue par chacun dans le capital et les droits de vote sont complétées par l’indication de la nature du ou des liens existant entre elles. </w:t>
      </w:r>
    </w:p>
    <w:p w14:paraId="5E5AD329"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Lorsque l’un des actionnaires de l’organisme figurant sur la liste prévue ci-dessus est lui-même contrôlé par un actionnaire unique, l’identité du ou des actionnaires liés entre eux détenant le contrôle est indiquée. </w:t>
      </w:r>
    </w:p>
    <w:p w14:paraId="5D63BEE8"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Lorsque l’un des actionnaires de l’organisme figurant sur la liste prévue ci-dessus détient à lui seul le contrôle de l’entreprise d’assurance et qu’il est lui-même une société dont l’activité principale consiste à prendre des participations dans les entreprises régies par le Code des assurances applicable en Polynésie française, la liste de ses actionnaires est également fournie, dans les mêmes conditions que la liste des actionnaires de l’entreprise d’assurance. </w:t>
      </w:r>
    </w:p>
    <w:p w14:paraId="569FC384"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lastRenderedPageBreak/>
        <w:t xml:space="preserve">Pour chacun des actionnaires mentionnés en application des présentes dispositions détenant 10 % ou plus du capital ou des droits de vote, est fourni un dossier comportant les informations sur l’actionnaire, telles que prévues par l’arrêté pris en application de l’article LP 332-2. </w:t>
      </w:r>
    </w:p>
    <w:p w14:paraId="4A1C74BF"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h) Le nom et l’adresse du ou des principaux établissements bancaires où sont domiciliés les comptes de l’organisme ; </w:t>
      </w:r>
    </w:p>
    <w:p w14:paraId="40B79C67"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i) Le cas échéant, l’organigramme financier du groupe auquel l’organisme appartient. </w:t>
      </w:r>
    </w:p>
    <w:p w14:paraId="5EF7ED2A"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p>
    <w:p w14:paraId="6852449D" w14:textId="77777777" w:rsidR="00F24BB4" w:rsidRPr="00913369" w:rsidRDefault="00F24BB4" w:rsidP="00F24BB4">
      <w:pPr>
        <w:autoSpaceDE w:val="0"/>
        <w:autoSpaceDN w:val="0"/>
        <w:adjustRightInd w:val="0"/>
        <w:spacing w:after="200"/>
        <w:jc w:val="both"/>
        <w:rPr>
          <w:rFonts w:ascii="Times New Roman" w:eastAsia="Calibri" w:hAnsi="Times New Roman" w:cs="Times New Roman"/>
          <w:b/>
          <w:sz w:val="24"/>
          <w:szCs w:val="24"/>
        </w:rPr>
      </w:pPr>
      <w:r w:rsidRPr="00913369">
        <w:rPr>
          <w:rFonts w:ascii="Times New Roman" w:eastAsia="Calibri" w:hAnsi="Times New Roman" w:cs="Times New Roman"/>
          <w:b/>
          <w:sz w:val="24"/>
          <w:szCs w:val="24"/>
        </w:rPr>
        <w:t>II. Pour les entreprises d’assurance n’ayant pas leur siège social en Polynésie française et ne relevant pas d’une autorité de contrôle partenaire d’un Etat ou territoire mentionné en annexe 3-1.</w:t>
      </w:r>
    </w:p>
    <w:p w14:paraId="371F2B81" w14:textId="77777777" w:rsidR="00F24BB4" w:rsidRPr="00913369" w:rsidRDefault="00F24BB4" w:rsidP="00F24BB4">
      <w:pPr>
        <w:autoSpaceDE w:val="0"/>
        <w:autoSpaceDN w:val="0"/>
        <w:adjustRightInd w:val="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Les pièces à produire lors de la demande d’agrément administratif prévu à l’article LP 321-1 sont celles prévues aux a), d), g), h) et i) du I, ainsi que :</w:t>
      </w:r>
    </w:p>
    <w:p w14:paraId="41D4BFFE"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p>
    <w:p w14:paraId="19D63BBB"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a) </w:t>
      </w:r>
      <w:bookmarkStart w:id="19" w:name="_Hlk207368256"/>
      <w:r w:rsidRPr="00913369">
        <w:rPr>
          <w:rFonts w:ascii="Times New Roman" w:eastAsia="Calibri" w:hAnsi="Times New Roman" w:cs="Times New Roman"/>
          <w:sz w:val="24"/>
          <w:szCs w:val="24"/>
        </w:rPr>
        <w:t xml:space="preserve">Le bilan, le compte de résultat et l’annexe pour chacun des trois derniers exercices sociaux. Toutefois, lorsque l’organisme compte moins de trois exercices sociaux, ces documents ne doivent être fournis que pour les exercices clôturés </w:t>
      </w:r>
      <w:bookmarkEnd w:id="19"/>
      <w:r w:rsidRPr="00913369">
        <w:rPr>
          <w:rFonts w:ascii="Times New Roman" w:eastAsia="Calibri" w:hAnsi="Times New Roman" w:cs="Times New Roman"/>
          <w:sz w:val="24"/>
          <w:szCs w:val="24"/>
        </w:rPr>
        <w:t xml:space="preserve">; </w:t>
      </w:r>
    </w:p>
    <w:p w14:paraId="4ABE4136"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b) </w:t>
      </w:r>
      <w:bookmarkStart w:id="20" w:name="_Hlk207368292"/>
      <w:r w:rsidRPr="00913369">
        <w:rPr>
          <w:rFonts w:ascii="Times New Roman" w:eastAsia="Calibri" w:hAnsi="Times New Roman" w:cs="Times New Roman"/>
          <w:sz w:val="24"/>
          <w:szCs w:val="24"/>
        </w:rPr>
        <w:t>Un certificat de solvabilité délivré par l’autorité de contrôle du siège social énumérant les branches que l’entreprise est habilitée à pratiquer ainsi que les risques qu’elle garantit effectivement et attestant qu’elle est constituée et qu’elle fonctionne dans son pays d’origine conformément à la réglementation de ce pays ;</w:t>
      </w:r>
      <w:bookmarkEnd w:id="20"/>
    </w:p>
    <w:p w14:paraId="7FD88B02"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c) Les documents suivants : </w:t>
      </w:r>
    </w:p>
    <w:p w14:paraId="3159B620" w14:textId="3C65E8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L’identifiant international d’entité juridique.</w:t>
      </w:r>
    </w:p>
    <w:p w14:paraId="59ACC0C4"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w:t>
      </w:r>
      <w:bookmarkStart w:id="21" w:name="_Hlk207368986"/>
      <w:r w:rsidRPr="00913369">
        <w:rPr>
          <w:rFonts w:ascii="Times New Roman" w:eastAsia="Calibri" w:hAnsi="Times New Roman" w:cs="Times New Roman"/>
          <w:sz w:val="24"/>
          <w:szCs w:val="24"/>
        </w:rPr>
        <w:t xml:space="preserve">La liste des membres du conseil d’administration ou du conseil de surveillance, ou leur équivalent dans la réglementation du pays de l’entreprise. </w:t>
      </w:r>
      <w:bookmarkEnd w:id="21"/>
    </w:p>
    <w:p w14:paraId="536C028F" w14:textId="2C93F4E6"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w:t>
      </w:r>
      <w:bookmarkStart w:id="22" w:name="_Hlk207369024"/>
      <w:r w:rsidRPr="00913369">
        <w:rPr>
          <w:rFonts w:ascii="Times New Roman" w:eastAsia="Calibri" w:hAnsi="Times New Roman" w:cs="Times New Roman"/>
          <w:sz w:val="24"/>
          <w:szCs w:val="24"/>
        </w:rPr>
        <w:t xml:space="preserve">Le document indiquant la personne physique ou morale ayant la qualité de mandataire général, ainsi que le nom de son représentant et un exemplaire de ses statuts s’il s’agit d’une personne morale, accompagné d’une description détaillée des responsabilités du mandataire général et du formulaire de nomination ou de renouvellement ainsi que des documents prévus à l’annexe 3-3. </w:t>
      </w:r>
      <w:bookmarkEnd w:id="22"/>
    </w:p>
    <w:p w14:paraId="71AAFC3E"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d) Un programme d’activité </w:t>
      </w:r>
      <w:bookmarkStart w:id="23" w:name="_Hlk207369090"/>
      <w:r w:rsidRPr="00913369">
        <w:rPr>
          <w:rFonts w:ascii="Times New Roman" w:eastAsia="Calibri" w:hAnsi="Times New Roman" w:cs="Times New Roman"/>
          <w:sz w:val="24"/>
          <w:szCs w:val="24"/>
        </w:rPr>
        <w:t>en Polynésie française comportant les pièces mentionnées au f) du I </w:t>
      </w:r>
      <w:bookmarkEnd w:id="23"/>
      <w:r w:rsidRPr="00913369">
        <w:rPr>
          <w:rFonts w:ascii="Times New Roman" w:eastAsia="Calibri" w:hAnsi="Times New Roman" w:cs="Times New Roman"/>
          <w:sz w:val="24"/>
          <w:szCs w:val="24"/>
        </w:rPr>
        <w:t>;</w:t>
      </w:r>
    </w:p>
    <w:p w14:paraId="479BBDA0"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e) La justification que l’organisme possède en Polynésie française, pour ses opérations sur ce territoire, une succursale où elle fait élection de domicile.</w:t>
      </w:r>
    </w:p>
    <w:p w14:paraId="3CC67A91" w14:textId="77777777" w:rsidR="00F24BB4" w:rsidRPr="00913369" w:rsidRDefault="00F24BB4" w:rsidP="00F24BB4">
      <w:pPr>
        <w:spacing w:after="200" w:line="276" w:lineRule="auto"/>
        <w:jc w:val="both"/>
        <w:rPr>
          <w:rFonts w:ascii="Times New Roman" w:eastAsia="Calibri" w:hAnsi="Times New Roman" w:cs="Times New Roman"/>
          <w:sz w:val="24"/>
          <w:szCs w:val="24"/>
        </w:rPr>
      </w:pPr>
    </w:p>
    <w:p w14:paraId="2558E58B" w14:textId="77777777" w:rsidR="00F24BB4" w:rsidRPr="00913369" w:rsidRDefault="00F24BB4" w:rsidP="00F24BB4">
      <w:pPr>
        <w:autoSpaceDE w:val="0"/>
        <w:autoSpaceDN w:val="0"/>
        <w:adjustRightInd w:val="0"/>
        <w:spacing w:after="200"/>
        <w:jc w:val="both"/>
        <w:rPr>
          <w:rFonts w:ascii="Times New Roman" w:eastAsia="Calibri" w:hAnsi="Times New Roman" w:cs="Times New Roman"/>
          <w:b/>
          <w:sz w:val="24"/>
          <w:szCs w:val="24"/>
        </w:rPr>
      </w:pPr>
      <w:r w:rsidRPr="00913369">
        <w:rPr>
          <w:rFonts w:ascii="Times New Roman" w:eastAsia="Calibri" w:hAnsi="Times New Roman" w:cs="Times New Roman"/>
          <w:b/>
          <w:sz w:val="24"/>
          <w:szCs w:val="24"/>
        </w:rPr>
        <w:t>III. Demande d’extension d’agrément des entreprises mentionnées aux I et II</w:t>
      </w:r>
    </w:p>
    <w:p w14:paraId="5E6AC94E"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lastRenderedPageBreak/>
        <w:t xml:space="preserve">Lorsqu’une entreprise d’assurance mentionnée au I ou au II demande une extension d’agrément, le dossier comporte les mêmes documents que pour toute demande d’agrément administratif, à l’exception des documents mentionnées aux b) et c) du I. </w:t>
      </w:r>
    </w:p>
    <w:p w14:paraId="41B99DF0"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En outre, pour les trois derniers exercices clos et pour l’ensemble de l’entité ainsi que pour la nouvelle branche que l’organisme d’assurance se propose de pratiquer, le dossier comporte également : </w:t>
      </w:r>
    </w:p>
    <w:p w14:paraId="08ECC98C"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Pour les entreprises relevant du régime prudentiel de base mentionnées à l’article DEL 323-2 : les comptes annuels ainsi que les informations mentionnées au paragraphe f) - 9.1 du I ; </w:t>
      </w:r>
    </w:p>
    <w:p w14:paraId="7EFCACAA"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Pour les entreprises relevant du régime prudentiel renforcé  mentionnées à l’article DEL 323-3 : </w:t>
      </w:r>
    </w:p>
    <w:p w14:paraId="3E78E76D"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o les comptes annuels ainsi que les informations mentionnées au paragraphe f) - 9.2 du I ; </w:t>
      </w:r>
    </w:p>
    <w:p w14:paraId="3F530934"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o  les impacts opérationnels sur les fonds propres, consécutivement à l’extension d’agrément demandée ; </w:t>
      </w:r>
    </w:p>
    <w:p w14:paraId="6F94EA1A"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o Les conséquences de l’évolution du profil de risque mentionné sur la dernière évaluation interne des risques et de la solvabilité mentionnée à l’article DEL 323-36 ; </w:t>
      </w:r>
    </w:p>
    <w:p w14:paraId="3EE5DBF6"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o Les conclusions de la fonction de vérification de la conformité sur le projet envisagé ;</w:t>
      </w:r>
    </w:p>
    <w:p w14:paraId="1334313B" w14:textId="77777777" w:rsidR="00F24BB4" w:rsidRPr="00913369" w:rsidRDefault="00F24BB4" w:rsidP="00F24BB4">
      <w:pPr>
        <w:autoSpaceDE w:val="0"/>
        <w:autoSpaceDN w:val="0"/>
        <w:adjustRightInd w:val="0"/>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o L’avis de la fonction actuarielle sur la politique de souscription et de tarification de la nouvelle activité ainsi que sur l’adéquation des dispositions prises en matière de réassurance ;</w:t>
      </w:r>
    </w:p>
    <w:p w14:paraId="54515523"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À ces documents doit être joint le procès-verbal de l’organe habilité à décider de l’extension d’agrément.</w:t>
      </w:r>
    </w:p>
    <w:p w14:paraId="4F3BFC1A" w14:textId="77777777" w:rsidR="00F24BB4" w:rsidRPr="00913369" w:rsidRDefault="00F24BB4" w:rsidP="00F24BB4">
      <w:pPr>
        <w:spacing w:after="200" w:line="276" w:lineRule="auto"/>
        <w:jc w:val="both"/>
        <w:rPr>
          <w:rFonts w:ascii="Times New Roman" w:hAnsi="Times New Roman" w:cs="Times New Roman"/>
          <w:sz w:val="24"/>
          <w:szCs w:val="24"/>
        </w:rPr>
      </w:pPr>
    </w:p>
    <w:p w14:paraId="4B4349DC" w14:textId="77777777" w:rsidR="00F24BB4" w:rsidRPr="00913369" w:rsidRDefault="00F24BB4" w:rsidP="00F24BB4">
      <w:pPr>
        <w:spacing w:after="200" w:line="276" w:lineRule="auto"/>
        <w:jc w:val="both"/>
        <w:rPr>
          <w:rFonts w:ascii="Times New Roman" w:eastAsia="Calibri" w:hAnsi="Times New Roman" w:cs="Times New Roman"/>
          <w:b/>
          <w:sz w:val="24"/>
          <w:szCs w:val="24"/>
        </w:rPr>
      </w:pPr>
      <w:r w:rsidRPr="00913369">
        <w:rPr>
          <w:rFonts w:ascii="Times New Roman" w:eastAsia="Calibri" w:hAnsi="Times New Roman" w:cs="Times New Roman"/>
          <w:b/>
          <w:sz w:val="24"/>
          <w:szCs w:val="24"/>
        </w:rPr>
        <w:t>IV. Pour les entreprises n’ayant pas leur siège social en Polynésie française et relevant d’une autorité de contrôle partenaire d’un Etat ou territoire mentionné à l’annexe 3-1.</w:t>
      </w:r>
    </w:p>
    <w:p w14:paraId="6F7563A5" w14:textId="4326E2F6"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Les pièces à produire lors de toute demande d’agrément administratif prévu à l’article LP. 321-1 sont les suivantes</w:t>
      </w:r>
      <w:r w:rsidR="00DD2A6E">
        <w:rPr>
          <w:rFonts w:ascii="Times New Roman" w:eastAsia="Calibri" w:hAnsi="Times New Roman" w:cs="Times New Roman"/>
          <w:sz w:val="24"/>
          <w:szCs w:val="24"/>
        </w:rPr>
        <w:t xml:space="preserve"> </w:t>
      </w:r>
      <w:r w:rsidRPr="00913369">
        <w:rPr>
          <w:rFonts w:ascii="Times New Roman" w:eastAsia="Calibri" w:hAnsi="Times New Roman" w:cs="Times New Roman"/>
          <w:sz w:val="24"/>
          <w:szCs w:val="24"/>
        </w:rPr>
        <w:t xml:space="preserve">: </w:t>
      </w:r>
    </w:p>
    <w:p w14:paraId="057CB246"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a) La dénomination, l'adresse du siège social de l'entreprise, ainsi que son identifiant international d’entité juridique ; </w:t>
      </w:r>
    </w:p>
    <w:p w14:paraId="1BCFC853"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b) Un programme relatif à l'activité envisagée comportant la liste établie en conformité avec l’article DEL 321-1 des branches que l’organisme d’assurance se propose de pratiquer, la nature des risques que l’organisme se propose de garantir et ses prévisions d'activités sur un exercice comportant le montant des primes acquises, le montant des sinistres nets de réassurance, le ratio sinistres sur primes et le ratio combiné. </w:t>
      </w:r>
    </w:p>
    <w:p w14:paraId="0D44E808"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c1) Pour les entreprises établissant une succursale en Polynésie française : </w:t>
      </w:r>
    </w:p>
    <w:p w14:paraId="27862026"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lastRenderedPageBreak/>
        <w:t>• La justification que l’organisme possède en Polynésie française, pour ses opérations sur ce territoire, une succursale où elle fait élection de domicile ;</w:t>
      </w:r>
    </w:p>
    <w:p w14:paraId="5F8C0FD8"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Le document indiquant la personne physique ou morale ayant la qualité de mandataire général, ainsi que le nom de son représentant et un exemplaire de ses statuts s’il s’agit d’une personne morale, accompagnée d’une description détaillée des responsabilités du mandataire général et du formulaire de nomination ou de renouvellement ainsi que des documents prévus à l’annexe 3-3 ;</w:t>
      </w:r>
    </w:p>
    <w:p w14:paraId="1B48BA99"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 La description de l'organisation administrative et commerciale et des moyens en personnel et en matériel dont dispose la succursale. </w:t>
      </w:r>
    </w:p>
    <w:p w14:paraId="502B2CFD"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c2) Pour les entreprises n’établissant pas de succursale en Polynésie française :</w:t>
      </w:r>
    </w:p>
    <w:p w14:paraId="2369C299"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Un dossier décrivant les moyens mis en œuvre par l'organisme pour les opérations qu'il envisage de souscrire ; </w:t>
      </w:r>
    </w:p>
    <w:p w14:paraId="2B5B3582" w14:textId="77777777" w:rsidR="00F24BB4" w:rsidRPr="00913369" w:rsidRDefault="00F24BB4" w:rsidP="00F24BB4">
      <w:pPr>
        <w:spacing w:after="20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d) Dans le cas où l'entreprise se proposerait de couvrir les risques définis à la branche 17 de l'article DEL 321-1, les informations mentionnées à l’article A. 331-1.</w:t>
      </w:r>
    </w:p>
    <w:p w14:paraId="65209278" w14:textId="77777777" w:rsidR="00F24BB4" w:rsidRPr="00913369" w:rsidRDefault="00F24BB4" w:rsidP="00F24BB4">
      <w:pPr>
        <w:spacing w:after="200"/>
        <w:jc w:val="both"/>
        <w:rPr>
          <w:rFonts w:ascii="Times New Roman" w:eastAsia="Calibri" w:hAnsi="Times New Roman" w:cs="Times New Roman"/>
          <w:sz w:val="24"/>
          <w:szCs w:val="24"/>
        </w:rPr>
      </w:pPr>
    </w:p>
    <w:p w14:paraId="2D9FE20F" w14:textId="77777777" w:rsidR="00F24BB4" w:rsidRPr="00913369" w:rsidRDefault="00F24BB4" w:rsidP="00F24BB4">
      <w:pPr>
        <w:rPr>
          <w:rFonts w:ascii="Times New Roman" w:eastAsia="Calibri" w:hAnsi="Times New Roman" w:cs="Times New Roman"/>
          <w:sz w:val="24"/>
          <w:szCs w:val="24"/>
        </w:rPr>
      </w:pPr>
      <w:r w:rsidRPr="00913369">
        <w:rPr>
          <w:rFonts w:ascii="Times New Roman" w:eastAsia="Calibri" w:hAnsi="Times New Roman" w:cs="Times New Roman"/>
          <w:sz w:val="24"/>
          <w:szCs w:val="24"/>
        </w:rPr>
        <w:br w:type="page"/>
      </w:r>
    </w:p>
    <w:p w14:paraId="70C747DD" w14:textId="1CA42F72" w:rsidR="00F24BB4" w:rsidRPr="00913369" w:rsidRDefault="00F24BB4" w:rsidP="00FE2714">
      <w:pPr>
        <w:spacing w:after="200" w:line="276" w:lineRule="auto"/>
        <w:jc w:val="center"/>
        <w:rPr>
          <w:rFonts w:ascii="Times New Roman" w:eastAsia="Calibri" w:hAnsi="Times New Roman" w:cs="Times New Roman"/>
          <w:b/>
          <w:sz w:val="28"/>
          <w:szCs w:val="28"/>
        </w:rPr>
      </w:pPr>
      <w:r w:rsidRPr="00913369">
        <w:rPr>
          <w:rFonts w:ascii="Times New Roman" w:eastAsia="Calibri" w:hAnsi="Times New Roman" w:cs="Times New Roman"/>
          <w:b/>
          <w:sz w:val="28"/>
          <w:szCs w:val="28"/>
        </w:rPr>
        <w:lastRenderedPageBreak/>
        <w:t>Annexe 3-3</w:t>
      </w:r>
    </w:p>
    <w:p w14:paraId="281CD33C" w14:textId="77777777" w:rsidR="00F24BB4" w:rsidRPr="00913369" w:rsidRDefault="00F24BB4" w:rsidP="00F24BB4">
      <w:pPr>
        <w:spacing w:after="200" w:line="276" w:lineRule="auto"/>
        <w:jc w:val="center"/>
        <w:rPr>
          <w:rFonts w:ascii="Times New Roman" w:eastAsia="Calibri" w:hAnsi="Times New Roman" w:cs="Times New Roman"/>
          <w:b/>
          <w:sz w:val="24"/>
          <w:szCs w:val="24"/>
        </w:rPr>
      </w:pPr>
      <w:r w:rsidRPr="00913369">
        <w:rPr>
          <w:rFonts w:ascii="Times New Roman" w:eastAsia="Calibri" w:hAnsi="Times New Roman" w:cs="Times New Roman"/>
          <w:b/>
          <w:sz w:val="24"/>
          <w:szCs w:val="24"/>
        </w:rPr>
        <w:t>Formulaire de nomination ou de renouvellement de dirigeant</w:t>
      </w:r>
    </w:p>
    <w:p w14:paraId="74E078A4" w14:textId="77777777" w:rsidR="00F24BB4" w:rsidRPr="00913369" w:rsidRDefault="00F24BB4" w:rsidP="00F24BB4">
      <w:pPr>
        <w:spacing w:after="200" w:line="276" w:lineRule="auto"/>
        <w:rPr>
          <w:rFonts w:ascii="Times New Roman" w:eastAsia="Calibri" w:hAnsi="Times New Roman" w:cs="Times New Roman"/>
          <w:sz w:val="24"/>
          <w:szCs w:val="24"/>
        </w:rPr>
      </w:pPr>
      <w:r w:rsidRPr="00913369">
        <w:rPr>
          <w:rFonts w:ascii="Times New Roman" w:eastAsia="Calibri" w:hAnsi="Times New Roman" w:cs="Times New Roman"/>
          <w:sz w:val="24"/>
          <w:szCs w:val="24"/>
        </w:rPr>
        <w:t>Ce formulaire est à servir en cas de nomination ou de renouvellement :</w:t>
      </w:r>
    </w:p>
    <w:p w14:paraId="62810F3B" w14:textId="77777777" w:rsidR="00F24BB4" w:rsidRPr="00913369" w:rsidRDefault="00F24BB4" w:rsidP="00F24BB4">
      <w:pPr>
        <w:spacing w:after="200" w:line="276" w:lineRule="auto"/>
        <w:jc w:val="both"/>
        <w:rPr>
          <w:rFonts w:ascii="Times New Roman" w:eastAsia="Calibri" w:hAnsi="Times New Roman" w:cs="Times New Roman"/>
          <w:sz w:val="24"/>
          <w:szCs w:val="24"/>
        </w:rPr>
      </w:pPr>
      <w:bookmarkStart w:id="24" w:name="_Hlk207369903"/>
      <w:r w:rsidRPr="00913369">
        <w:rPr>
          <w:rFonts w:ascii="Times New Roman" w:eastAsia="Calibri" w:hAnsi="Times New Roman" w:cs="Times New Roman"/>
          <w:sz w:val="24"/>
          <w:szCs w:val="24"/>
        </w:rPr>
        <w:t>- De dirigeants mentionnés à l’article LP 322</w:t>
      </w:r>
      <w:r w:rsidRPr="00913369">
        <w:rPr>
          <w:rFonts w:ascii="Times New Roman" w:eastAsia="Calibri" w:hAnsi="Times New Roman" w:cs="Times New Roman"/>
          <w:sz w:val="24"/>
          <w:szCs w:val="24"/>
        </w:rPr>
        <w:noBreakHyphen/>
        <w:t>3 (directeur général, directeurs généraux délégués, directeur général unique, membres du directoire ainsi que de toute personne appelée à exercer en fait des fonctions équivalentes ; mandataire général) ;</w:t>
      </w:r>
    </w:p>
    <w:p w14:paraId="0C323AC1"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D’un représentant de mandataire général personne morale, mentionné à l’article DEL 333-1 ;</w:t>
      </w:r>
    </w:p>
    <w:p w14:paraId="7E04BC4D"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De dirigeants effectifs mentionnés à l’article DEL 323-35.</w:t>
      </w:r>
    </w:p>
    <w:p w14:paraId="16B8CD09" w14:textId="77777777" w:rsidR="00F24BB4" w:rsidRPr="00913369" w:rsidRDefault="00F24BB4" w:rsidP="00F24BB4">
      <w:pPr>
        <w:spacing w:after="200"/>
        <w:rPr>
          <w:rFonts w:ascii="Times New Roman" w:eastAsia="Calibri" w:hAnsi="Times New Roman" w:cs="Times New Roman"/>
          <w:sz w:val="24"/>
          <w:szCs w:val="24"/>
        </w:rPr>
      </w:pPr>
      <w:bookmarkStart w:id="25" w:name="_Hlk207369929"/>
      <w:bookmarkEnd w:id="24"/>
      <w:r w:rsidRPr="00913369">
        <w:rPr>
          <w:rFonts w:ascii="Times New Roman" w:eastAsia="Calibri" w:hAnsi="Times New Roman" w:cs="Times New Roman"/>
          <w:sz w:val="24"/>
          <w:szCs w:val="24"/>
        </w:rPr>
        <w:t>Pour être considéré comme complet, le dossier doit comporter un exemplaire daté et signé du présent formulaire, et les documents suivants :</w:t>
      </w:r>
    </w:p>
    <w:p w14:paraId="4A9E9DDF"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une copie d’une pièce d’identité en cours de validité de la personne concernée,</w:t>
      </w:r>
    </w:p>
    <w:p w14:paraId="421B586A" w14:textId="45DDD52D"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le curriculum vitae en français, actualisé, daté et signé par la personne concernée, indiquant notamment de façon détaillée les formations suivies, les diplômes obtenus et pour chacune des fonctions exercées au cours des 10 dernières années en France ou à l’étranger, le nom ou la dénomination sociale de l’employeur ou de l’entreprise concernée, les responsabilités effectivement exercées, les résultats obtenus en termes de développement de l’activité et de rentabilité, </w:t>
      </w:r>
    </w:p>
    <w:p w14:paraId="2E1BC3A2"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une copie certifiée conforme du document de nomination du dirigeant (un extrait du procès-verbal de l’organe social ayant procédé à la nomination),</w:t>
      </w:r>
    </w:p>
    <w:p w14:paraId="7A2CF19E"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la déclaration de non condamnation relative aux I et II de l’article LP 331-3.</w:t>
      </w:r>
    </w:p>
    <w:bookmarkEnd w:id="25"/>
    <w:p w14:paraId="293E3D73"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pour les personnes ressortissantes d’un Etat étranger, un document équivalent au bulletin n° 3 du casier judiciaire délivré par une autorité administrative ou judiciaire compétente de cet État.  Lorsqu’elles sont ressortissantes d’un État qui n’est pas partie à l’accord sur l’Espace Économique Européen, les documents attestant de la régularité de leur situation sur le territoire français,</w:t>
      </w:r>
    </w:p>
    <w:p w14:paraId="53C832C7"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 pour les personnes ne résidant pas en France depuis trois ans au moins, une attestation tenant lieu d’extrait de casier judiciaire, émanant de l’autorité compétente du pays où le déclarant réside et comportant la désignation de l’autorité signataire et du pays concerné,</w:t>
      </w:r>
    </w:p>
    <w:p w14:paraId="4250D981" w14:textId="77777777" w:rsidR="00F24BB4" w:rsidRPr="00913369" w:rsidRDefault="00F24BB4" w:rsidP="00F24BB4">
      <w:pPr>
        <w:spacing w:after="60"/>
        <w:jc w:val="both"/>
        <w:rPr>
          <w:rFonts w:ascii="Times New Roman" w:eastAsia="Calibri" w:hAnsi="Times New Roman" w:cs="Times New Roman"/>
          <w:sz w:val="24"/>
          <w:szCs w:val="24"/>
        </w:rPr>
      </w:pPr>
    </w:p>
    <w:p w14:paraId="32B50234" w14:textId="77777777" w:rsidR="00F24BB4" w:rsidRPr="00913369" w:rsidRDefault="00F24BB4" w:rsidP="00F24BB4">
      <w:pPr>
        <w:spacing w:after="60"/>
        <w:jc w:val="both"/>
        <w:rPr>
          <w:rFonts w:ascii="Times New Roman" w:eastAsia="Calibri" w:hAnsi="Times New Roman" w:cs="Times New Roman"/>
          <w:sz w:val="24"/>
          <w:szCs w:val="24"/>
        </w:rPr>
      </w:pPr>
    </w:p>
    <w:p w14:paraId="652264A6" w14:textId="77777777" w:rsidR="00F24BB4" w:rsidRPr="00913369" w:rsidRDefault="00F24BB4" w:rsidP="00F24BB4">
      <w:pPr>
        <w:spacing w:after="60"/>
        <w:jc w:val="both"/>
        <w:rPr>
          <w:rFonts w:ascii="Times New Roman" w:eastAsia="Calibri" w:hAnsi="Times New Roman" w:cs="Times New Roman"/>
          <w:sz w:val="24"/>
          <w:szCs w:val="24"/>
        </w:rPr>
      </w:pPr>
    </w:p>
    <w:p w14:paraId="737C1363" w14:textId="77777777" w:rsidR="00F24BB4" w:rsidRPr="00913369" w:rsidRDefault="00F24BB4" w:rsidP="00F24BB4">
      <w:pPr>
        <w:rPr>
          <w:rFonts w:ascii="Times New Roman" w:eastAsia="Calibri" w:hAnsi="Times New Roman" w:cs="Times New Roman"/>
          <w:sz w:val="24"/>
          <w:szCs w:val="24"/>
        </w:rPr>
      </w:pPr>
      <w:r w:rsidRPr="00913369">
        <w:rPr>
          <w:rFonts w:ascii="Times New Roman" w:eastAsia="Calibri" w:hAnsi="Times New Roman" w:cs="Times New Roman"/>
          <w:sz w:val="24"/>
          <w:szCs w:val="24"/>
        </w:rPr>
        <w:t>Ces documents peuvent être transmis par voie électronique à la Direction générale des affaires économiques.</w:t>
      </w:r>
    </w:p>
    <w:p w14:paraId="7A00AA0F" w14:textId="2B8BAD74" w:rsidR="00F24BB4" w:rsidRDefault="00F24BB4" w:rsidP="00F24BB4">
      <w:pPr>
        <w:spacing w:after="60"/>
        <w:jc w:val="both"/>
        <w:rPr>
          <w:rFonts w:ascii="Times New Roman" w:eastAsia="Calibri" w:hAnsi="Times New Roman" w:cs="Times New Roman"/>
          <w:sz w:val="24"/>
          <w:szCs w:val="24"/>
        </w:rPr>
      </w:pPr>
    </w:p>
    <w:p w14:paraId="288A02B3" w14:textId="51965269" w:rsidR="00913369" w:rsidRDefault="00913369" w:rsidP="00F24BB4">
      <w:pPr>
        <w:spacing w:after="60"/>
        <w:jc w:val="both"/>
        <w:rPr>
          <w:rFonts w:ascii="Times New Roman" w:eastAsia="Calibri" w:hAnsi="Times New Roman" w:cs="Times New Roman"/>
          <w:sz w:val="24"/>
          <w:szCs w:val="24"/>
        </w:rPr>
      </w:pPr>
    </w:p>
    <w:p w14:paraId="0EE467A1" w14:textId="6B684B06" w:rsidR="00913369" w:rsidRDefault="00913369" w:rsidP="00F24BB4">
      <w:pPr>
        <w:spacing w:after="60"/>
        <w:jc w:val="both"/>
        <w:rPr>
          <w:rFonts w:ascii="Times New Roman" w:eastAsia="Calibri" w:hAnsi="Times New Roman" w:cs="Times New Roman"/>
          <w:sz w:val="24"/>
          <w:szCs w:val="24"/>
        </w:rPr>
      </w:pPr>
    </w:p>
    <w:p w14:paraId="1B132695" w14:textId="77777777" w:rsidR="00913369" w:rsidRPr="00913369" w:rsidRDefault="00913369" w:rsidP="00F24BB4">
      <w:pPr>
        <w:spacing w:after="60"/>
        <w:jc w:val="both"/>
        <w:rPr>
          <w:rFonts w:ascii="Times New Roman" w:eastAsia="Calibri" w:hAnsi="Times New Roman" w:cs="Times New Roman"/>
          <w:sz w:val="24"/>
          <w:szCs w:val="24"/>
        </w:rPr>
      </w:pPr>
    </w:p>
    <w:p w14:paraId="0688ED46" w14:textId="77777777" w:rsidR="00F24BB4" w:rsidRPr="00913369" w:rsidRDefault="00F24BB4" w:rsidP="00F24BB4">
      <w:pPr>
        <w:spacing w:after="200" w:line="276" w:lineRule="auto"/>
        <w:rPr>
          <w:rFonts w:ascii="Times New Roman" w:eastAsia="Calibri" w:hAnsi="Times New Roman" w:cs="Times New Roman"/>
          <w:b/>
          <w:sz w:val="24"/>
          <w:szCs w:val="24"/>
          <w:u w:val="single"/>
        </w:rPr>
      </w:pPr>
      <w:r w:rsidRPr="00913369">
        <w:rPr>
          <w:rFonts w:ascii="Times New Roman" w:eastAsia="Calibri" w:hAnsi="Times New Roman" w:cs="Times New Roman"/>
          <w:b/>
          <w:sz w:val="24"/>
          <w:szCs w:val="24"/>
          <w:u w:val="single"/>
        </w:rPr>
        <w:lastRenderedPageBreak/>
        <w:t>Avertissement</w:t>
      </w:r>
    </w:p>
    <w:p w14:paraId="4E035897" w14:textId="77777777" w:rsidR="00F24BB4" w:rsidRPr="00913369" w:rsidRDefault="00F24BB4" w:rsidP="00F24BB4">
      <w:pPr>
        <w:spacing w:after="60"/>
        <w:jc w:val="both"/>
        <w:rPr>
          <w:rFonts w:ascii="Times New Roman" w:eastAsia="Calibri" w:hAnsi="Times New Roman" w:cs="Times New Roman"/>
          <w:sz w:val="24"/>
          <w:szCs w:val="24"/>
        </w:rPr>
      </w:pPr>
      <w:bookmarkStart w:id="26" w:name="_Hlk207370029"/>
      <w:r w:rsidRPr="00913369">
        <w:rPr>
          <w:rFonts w:ascii="Times New Roman" w:eastAsia="Calibri" w:hAnsi="Times New Roman" w:cs="Times New Roman"/>
          <w:sz w:val="24"/>
          <w:szCs w:val="24"/>
        </w:rPr>
        <w:t xml:space="preserve">Les réponses au questionnaire ci-après doivent être accompagnées de toutes les précisions permettant d'éclairer l’appréciation de la Polynésie française. Il importe que toutes les rubriques soient servies. </w:t>
      </w:r>
    </w:p>
    <w:p w14:paraId="716A819A"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Les manquements ou infractions ayant donné lieu à amnistie ne doivent pas être mentionnés.</w:t>
      </w:r>
    </w:p>
    <w:p w14:paraId="1DFAEE9A"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Les renseignements concernant des entreprises non assujetties ne doivent être communiqués que dans la mesure où cette transmission n'est pas interdite par une obligation de discrétion ou par la réglementation. </w:t>
      </w:r>
    </w:p>
    <w:p w14:paraId="3EA054F3"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Le questionnaire doit être retourné dûment complété et signé par l'intéressé. Il est aussi signé par :</w:t>
      </w:r>
    </w:p>
    <w:p w14:paraId="27E7C14D"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Un autre dirigeant ou le président du conseil d’administration ou de surveillance, lorsque l’intéressé est un dirigeant mentionné à l’article LP 322</w:t>
      </w:r>
      <w:r w:rsidRPr="00913369">
        <w:rPr>
          <w:rFonts w:ascii="Times New Roman" w:eastAsia="Calibri" w:hAnsi="Times New Roman" w:cs="Times New Roman"/>
          <w:sz w:val="24"/>
          <w:szCs w:val="24"/>
        </w:rPr>
        <w:noBreakHyphen/>
        <w:t>3, autre que mandataire général ;</w:t>
      </w:r>
    </w:p>
    <w:p w14:paraId="00EF6458"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noBreakHyphen/>
        <w:t> Un dirigeant de l’entreprise, lorsque l’intéressé est mandataire général ou représentant de mandataire général personne morale, mentionnés à l’article DEL 333-1 ;</w:t>
      </w:r>
    </w:p>
    <w:p w14:paraId="7AE92E60" w14:textId="77777777" w:rsidR="00F24BB4" w:rsidRPr="00913369" w:rsidRDefault="00F24BB4" w:rsidP="00F24BB4">
      <w:pPr>
        <w:spacing w:after="60"/>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Un autre dirigeant effectif, lorsque l’intéressé est un dirigeant effectif mentionné à l’article DEL 323-35.</w:t>
      </w:r>
    </w:p>
    <w:bookmarkEnd w:id="26"/>
    <w:p w14:paraId="5EA511BC" w14:textId="77777777" w:rsidR="00F24BB4" w:rsidRPr="00913369" w:rsidRDefault="00F24BB4" w:rsidP="00F24BB4">
      <w:pPr>
        <w:spacing w:after="60"/>
        <w:jc w:val="both"/>
        <w:rPr>
          <w:rFonts w:ascii="Times New Roman" w:eastAsia="Calibri" w:hAnsi="Times New Roman" w:cs="Times New Roman"/>
          <w:sz w:val="24"/>
          <w:szCs w:val="24"/>
        </w:rPr>
      </w:pPr>
    </w:p>
    <w:p w14:paraId="7DA63E39" w14:textId="77777777" w:rsidR="00F24BB4" w:rsidRPr="00913369" w:rsidRDefault="00F24BB4" w:rsidP="00F24BB4">
      <w:pPr>
        <w:spacing w:after="200" w:line="276" w:lineRule="auto"/>
        <w:rPr>
          <w:rFonts w:ascii="Times New Roman" w:eastAsia="Calibri" w:hAnsi="Times New Roman" w:cs="Times New Roman"/>
          <w:sz w:val="24"/>
          <w:szCs w:val="24"/>
        </w:rPr>
      </w:pPr>
      <w:r w:rsidRPr="00913369">
        <w:rPr>
          <w:rFonts w:ascii="Times New Roman" w:eastAsia="Calibri" w:hAnsi="Times New Roman" w:cs="Times New Roman"/>
          <w:b/>
          <w:sz w:val="24"/>
          <w:szCs w:val="24"/>
        </w:rPr>
        <w:t xml:space="preserve">Désignation de l’entreprise concernée par le présent formulaire  </w:t>
      </w:r>
    </w:p>
    <w:p w14:paraId="6DAE043E" w14:textId="77777777" w:rsidR="00F24BB4" w:rsidRPr="00913369" w:rsidRDefault="00F24BB4" w:rsidP="00F24BB4">
      <w:pPr>
        <w:tabs>
          <w:tab w:val="left" w:pos="2518"/>
        </w:tabs>
        <w:spacing w:before="120" w:after="120" w:line="276" w:lineRule="auto"/>
        <w:rPr>
          <w:rFonts w:ascii="Times New Roman" w:eastAsia="Calibri" w:hAnsi="Times New Roman" w:cs="Times New Roman"/>
          <w:i/>
          <w:sz w:val="24"/>
          <w:szCs w:val="24"/>
          <w:highlight w:val="yellow"/>
        </w:rPr>
      </w:pPr>
      <w:r w:rsidRPr="00913369">
        <w:rPr>
          <w:rFonts w:ascii="Times New Roman" w:eastAsia="Calibri" w:hAnsi="Times New Roman" w:cs="Times New Roman"/>
          <w:sz w:val="24"/>
          <w:szCs w:val="24"/>
        </w:rPr>
        <w:t>Dénomination sociale :</w:t>
      </w:r>
    </w:p>
    <w:p w14:paraId="47E5C252" w14:textId="77777777" w:rsidR="00F24BB4" w:rsidRPr="00913369" w:rsidRDefault="00F24BB4" w:rsidP="00F24BB4">
      <w:pPr>
        <w:tabs>
          <w:tab w:val="left" w:pos="2518"/>
        </w:tabs>
        <w:spacing w:before="120" w:after="120" w:line="276" w:lineRule="auto"/>
        <w:rPr>
          <w:rFonts w:ascii="Times New Roman" w:eastAsia="Calibri" w:hAnsi="Times New Roman" w:cs="Times New Roman"/>
          <w:sz w:val="24"/>
          <w:szCs w:val="24"/>
          <w:highlight w:val="yellow"/>
        </w:rPr>
      </w:pPr>
      <w:bookmarkStart w:id="27" w:name="_Hlk207370130"/>
      <w:r w:rsidRPr="00913369">
        <w:rPr>
          <w:rFonts w:ascii="Times New Roman" w:eastAsia="Calibri" w:hAnsi="Times New Roman" w:cs="Times New Roman"/>
          <w:sz w:val="24"/>
          <w:szCs w:val="24"/>
        </w:rPr>
        <w:t>Numéro Tahiti :</w:t>
      </w:r>
    </w:p>
    <w:bookmarkEnd w:id="27"/>
    <w:p w14:paraId="545CB11C" w14:textId="77777777" w:rsidR="00F24BB4" w:rsidRPr="00913369" w:rsidRDefault="00F24BB4" w:rsidP="00F24BB4">
      <w:pPr>
        <w:tabs>
          <w:tab w:val="left" w:pos="2518"/>
        </w:tabs>
        <w:spacing w:before="120" w:after="120" w:line="276" w:lineRule="auto"/>
        <w:rPr>
          <w:rFonts w:ascii="Times New Roman" w:eastAsia="Calibri" w:hAnsi="Times New Roman" w:cs="Times New Roman"/>
          <w:sz w:val="24"/>
          <w:szCs w:val="24"/>
          <w:highlight w:val="yellow"/>
        </w:rPr>
      </w:pPr>
      <w:r w:rsidRPr="00913369">
        <w:rPr>
          <w:rFonts w:ascii="Times New Roman" w:eastAsia="Calibri" w:hAnsi="Times New Roman" w:cs="Times New Roman"/>
          <w:sz w:val="24"/>
          <w:szCs w:val="24"/>
        </w:rPr>
        <w:t>Identifiant d’entité juridique (LEI) :</w:t>
      </w:r>
    </w:p>
    <w:p w14:paraId="0303598A" w14:textId="77777777" w:rsidR="00F24BB4" w:rsidRPr="00913369" w:rsidRDefault="00F24BB4" w:rsidP="00F24BB4">
      <w:pPr>
        <w:spacing w:after="200" w:line="276" w:lineRule="auto"/>
        <w:rPr>
          <w:rFonts w:ascii="Times New Roman" w:eastAsia="Calibri" w:hAnsi="Times New Roman" w:cs="Times New Roman"/>
          <w:b/>
          <w:sz w:val="24"/>
          <w:szCs w:val="24"/>
        </w:rPr>
      </w:pPr>
      <w:r w:rsidRPr="00913369">
        <w:rPr>
          <w:rFonts w:ascii="Times New Roman" w:eastAsia="Calibri" w:hAnsi="Times New Roman" w:cs="Times New Roman"/>
          <w:b/>
          <w:sz w:val="24"/>
          <w:szCs w:val="24"/>
        </w:rPr>
        <w:t>Personne concernée par le présent formulaire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936"/>
        <w:gridCol w:w="2357"/>
        <w:gridCol w:w="1966"/>
        <w:gridCol w:w="2772"/>
        <w:gridCol w:w="31"/>
      </w:tblGrid>
      <w:tr w:rsidR="00F24BB4" w:rsidRPr="00913369" w14:paraId="191A6190" w14:textId="77777777" w:rsidTr="008747AD">
        <w:tc>
          <w:tcPr>
            <w:tcW w:w="1951" w:type="dxa"/>
            <w:hideMark/>
          </w:tcPr>
          <w:p w14:paraId="328EB8DC"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Civilité</w:t>
            </w:r>
          </w:p>
        </w:tc>
        <w:tc>
          <w:tcPr>
            <w:tcW w:w="2410" w:type="dxa"/>
          </w:tcPr>
          <w:p w14:paraId="28568C78"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1984" w:type="dxa"/>
            <w:hideMark/>
          </w:tcPr>
          <w:p w14:paraId="1B579915"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Nom d’usage</w:t>
            </w:r>
          </w:p>
        </w:tc>
        <w:tc>
          <w:tcPr>
            <w:tcW w:w="2867" w:type="dxa"/>
            <w:gridSpan w:val="2"/>
            <w:hideMark/>
          </w:tcPr>
          <w:p w14:paraId="0A988B08"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r w:rsidR="00F24BB4" w:rsidRPr="00913369" w14:paraId="5B7C7480" w14:textId="77777777" w:rsidTr="008747AD">
        <w:tc>
          <w:tcPr>
            <w:tcW w:w="1951" w:type="dxa"/>
            <w:hideMark/>
          </w:tcPr>
          <w:p w14:paraId="241D98DF"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Nom de famille</w:t>
            </w:r>
          </w:p>
        </w:tc>
        <w:tc>
          <w:tcPr>
            <w:tcW w:w="2410" w:type="dxa"/>
          </w:tcPr>
          <w:p w14:paraId="1E7E6866"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1984" w:type="dxa"/>
            <w:hideMark/>
          </w:tcPr>
          <w:p w14:paraId="7277CC2C"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Alias</w:t>
            </w:r>
          </w:p>
        </w:tc>
        <w:tc>
          <w:tcPr>
            <w:tcW w:w="2867" w:type="dxa"/>
            <w:gridSpan w:val="2"/>
            <w:hideMark/>
          </w:tcPr>
          <w:p w14:paraId="78E099E2"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r w:rsidR="00F24BB4" w:rsidRPr="00913369" w14:paraId="2E4BE1F6" w14:textId="77777777" w:rsidTr="008747AD">
        <w:tc>
          <w:tcPr>
            <w:tcW w:w="1951" w:type="dxa"/>
            <w:hideMark/>
          </w:tcPr>
          <w:p w14:paraId="508E4703"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Prénom</w:t>
            </w:r>
          </w:p>
        </w:tc>
        <w:tc>
          <w:tcPr>
            <w:tcW w:w="2410" w:type="dxa"/>
          </w:tcPr>
          <w:p w14:paraId="7D47293C"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1984" w:type="dxa"/>
            <w:hideMark/>
          </w:tcPr>
          <w:p w14:paraId="2E05D943"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Autres prénoms</w:t>
            </w:r>
          </w:p>
        </w:tc>
        <w:tc>
          <w:tcPr>
            <w:tcW w:w="2867" w:type="dxa"/>
            <w:gridSpan w:val="2"/>
            <w:hideMark/>
          </w:tcPr>
          <w:p w14:paraId="316C998F"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r w:rsidR="00F24BB4" w:rsidRPr="00913369" w14:paraId="4E97BC8E" w14:textId="77777777" w:rsidTr="008747AD">
        <w:tc>
          <w:tcPr>
            <w:tcW w:w="1951" w:type="dxa"/>
            <w:hideMark/>
          </w:tcPr>
          <w:p w14:paraId="30285A22"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Nom du père</w:t>
            </w:r>
            <w:r w:rsidRPr="00913369">
              <w:rPr>
                <w:rFonts w:ascii="Times New Roman" w:eastAsia="Calibri" w:hAnsi="Times New Roman" w:cs="Times New Roman"/>
                <w:position w:val="6"/>
                <w:sz w:val="24"/>
                <w:szCs w:val="24"/>
                <w:bdr w:val="none" w:sz="0" w:space="0" w:color="auto" w:frame="1"/>
              </w:rPr>
              <w:footnoteReference w:id="1"/>
            </w:r>
          </w:p>
        </w:tc>
        <w:tc>
          <w:tcPr>
            <w:tcW w:w="2410" w:type="dxa"/>
          </w:tcPr>
          <w:p w14:paraId="171693EF"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1984" w:type="dxa"/>
            <w:hideMark/>
          </w:tcPr>
          <w:p w14:paraId="5835F989"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Prénom du père</w:t>
            </w:r>
          </w:p>
        </w:tc>
        <w:tc>
          <w:tcPr>
            <w:tcW w:w="2867" w:type="dxa"/>
            <w:gridSpan w:val="2"/>
            <w:hideMark/>
          </w:tcPr>
          <w:p w14:paraId="29B2E213"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r w:rsidR="00F24BB4" w:rsidRPr="00913369" w14:paraId="6B1B951C" w14:textId="77777777" w:rsidTr="008747AD">
        <w:tc>
          <w:tcPr>
            <w:tcW w:w="1951" w:type="dxa"/>
            <w:hideMark/>
          </w:tcPr>
          <w:p w14:paraId="2E2982A2"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Nom de la mère</w:t>
            </w:r>
          </w:p>
        </w:tc>
        <w:tc>
          <w:tcPr>
            <w:tcW w:w="2410" w:type="dxa"/>
          </w:tcPr>
          <w:p w14:paraId="09853BAD"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1984" w:type="dxa"/>
            <w:hideMark/>
          </w:tcPr>
          <w:p w14:paraId="574EFF83"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Prénom de la mère</w:t>
            </w:r>
          </w:p>
        </w:tc>
        <w:tc>
          <w:tcPr>
            <w:tcW w:w="2867" w:type="dxa"/>
            <w:gridSpan w:val="2"/>
            <w:hideMark/>
          </w:tcPr>
          <w:p w14:paraId="0CAD301E"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r w:rsidR="00F24BB4" w:rsidRPr="00913369" w14:paraId="0307D5A5" w14:textId="77777777" w:rsidTr="008747AD">
        <w:tc>
          <w:tcPr>
            <w:tcW w:w="1951" w:type="dxa"/>
            <w:hideMark/>
          </w:tcPr>
          <w:p w14:paraId="1C344571"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Date de naissance</w:t>
            </w:r>
          </w:p>
        </w:tc>
        <w:tc>
          <w:tcPr>
            <w:tcW w:w="2410" w:type="dxa"/>
          </w:tcPr>
          <w:p w14:paraId="1C58B3AE"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1984" w:type="dxa"/>
            <w:hideMark/>
          </w:tcPr>
          <w:p w14:paraId="11F1D376"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Pays de naissance</w:t>
            </w:r>
          </w:p>
        </w:tc>
        <w:tc>
          <w:tcPr>
            <w:tcW w:w="2867" w:type="dxa"/>
            <w:gridSpan w:val="2"/>
            <w:hideMark/>
          </w:tcPr>
          <w:p w14:paraId="054A00A8"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r w:rsidR="00F24BB4" w:rsidRPr="00913369" w14:paraId="4B675C5B" w14:textId="77777777" w:rsidTr="008747AD">
        <w:trPr>
          <w:gridAfter w:val="1"/>
          <w:wAfter w:w="32" w:type="dxa"/>
        </w:trPr>
        <w:tc>
          <w:tcPr>
            <w:tcW w:w="1951" w:type="dxa"/>
            <w:hideMark/>
          </w:tcPr>
          <w:p w14:paraId="5E9BDFA6"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Commune </w:t>
            </w:r>
            <w:r w:rsidRPr="00913369">
              <w:rPr>
                <w:rFonts w:ascii="Times New Roman" w:eastAsia="Calibri" w:hAnsi="Times New Roman" w:cs="Times New Roman"/>
                <w:sz w:val="24"/>
                <w:szCs w:val="24"/>
              </w:rPr>
              <w:br/>
              <w:t>de naissance</w:t>
            </w:r>
          </w:p>
        </w:tc>
        <w:tc>
          <w:tcPr>
            <w:tcW w:w="2410" w:type="dxa"/>
          </w:tcPr>
          <w:p w14:paraId="1CDFD2CE"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1984" w:type="dxa"/>
            <w:hideMark/>
          </w:tcPr>
          <w:p w14:paraId="51A6D7BE" w14:textId="77777777" w:rsidR="00F24BB4" w:rsidRPr="00913369" w:rsidRDefault="00F24BB4" w:rsidP="008747AD">
            <w:pPr>
              <w:spacing w:before="120"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Code postal </w:t>
            </w:r>
            <w:r w:rsidRPr="00913369">
              <w:rPr>
                <w:rFonts w:ascii="Times New Roman" w:eastAsia="Calibri" w:hAnsi="Times New Roman" w:cs="Times New Roman"/>
                <w:sz w:val="24"/>
                <w:szCs w:val="24"/>
              </w:rPr>
              <w:br/>
              <w:t>commune de naissance</w:t>
            </w:r>
          </w:p>
        </w:tc>
        <w:tc>
          <w:tcPr>
            <w:tcW w:w="2835" w:type="dxa"/>
            <w:hideMark/>
          </w:tcPr>
          <w:p w14:paraId="08AF62A0"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r w:rsidR="00F24BB4" w:rsidRPr="00913369" w14:paraId="1FE0BBA9" w14:textId="77777777" w:rsidTr="008747AD">
        <w:tc>
          <w:tcPr>
            <w:tcW w:w="1951" w:type="dxa"/>
            <w:hideMark/>
          </w:tcPr>
          <w:p w14:paraId="574EECCB"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lastRenderedPageBreak/>
              <w:t>Nationalité</w:t>
            </w:r>
          </w:p>
        </w:tc>
        <w:tc>
          <w:tcPr>
            <w:tcW w:w="2410" w:type="dxa"/>
          </w:tcPr>
          <w:p w14:paraId="09DF0A81"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1984" w:type="dxa"/>
            <w:hideMark/>
          </w:tcPr>
          <w:p w14:paraId="4CA2B9C6"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Autre nationalité</w:t>
            </w:r>
          </w:p>
        </w:tc>
        <w:tc>
          <w:tcPr>
            <w:tcW w:w="2867" w:type="dxa"/>
            <w:gridSpan w:val="2"/>
            <w:hideMark/>
          </w:tcPr>
          <w:p w14:paraId="19BDC2A4"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bl>
    <w:p w14:paraId="0B8C1113" w14:textId="77777777" w:rsidR="00F24BB4" w:rsidRPr="00913369" w:rsidRDefault="00F24BB4" w:rsidP="00F24BB4">
      <w:pPr>
        <w:spacing w:after="200" w:line="276" w:lineRule="auto"/>
        <w:rPr>
          <w:rFonts w:ascii="Times New Roman" w:eastAsia="Calibri" w:hAnsi="Times New Roman" w:cs="Times New Roman"/>
          <w:sz w:val="24"/>
          <w:szCs w:val="24"/>
          <w:u w:val="single"/>
        </w:rPr>
      </w:pPr>
    </w:p>
    <w:p w14:paraId="1777AEBE" w14:textId="77777777" w:rsidR="00F24BB4" w:rsidRPr="00913369" w:rsidRDefault="00F24BB4" w:rsidP="00F24BB4">
      <w:pPr>
        <w:spacing w:after="20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Adresse personnelle (</w:t>
      </w:r>
      <w:r w:rsidRPr="00913369">
        <w:rPr>
          <w:rFonts w:ascii="Times New Roman" w:eastAsia="Calibri" w:hAnsi="Times New Roman" w:cs="Times New Roman"/>
          <w:i/>
          <w:sz w:val="24"/>
          <w:szCs w:val="24"/>
        </w:rPr>
        <w:t xml:space="preserve">Indiquer le lieu de résidence envisagé à la suite de la prise de fonction s'il est différent du lieu actuel. Tout changement d’adresse devra être porté à la connaissance </w:t>
      </w:r>
      <w:bookmarkStart w:id="28" w:name="_Hlk207370238"/>
      <w:r w:rsidRPr="00913369">
        <w:rPr>
          <w:rFonts w:ascii="Times New Roman" w:eastAsia="Calibri" w:hAnsi="Times New Roman" w:cs="Times New Roman"/>
          <w:i/>
          <w:sz w:val="24"/>
          <w:szCs w:val="24"/>
        </w:rPr>
        <w:t>de la Polynésie française</w:t>
      </w:r>
      <w:bookmarkEnd w:id="28"/>
      <w:r w:rsidRPr="00913369">
        <w:rPr>
          <w:rFonts w:ascii="Times New Roman" w:eastAsia="Calibri" w:hAnsi="Times New Roman" w:cs="Times New Roman"/>
          <w:i/>
          <w:sz w:val="24"/>
          <w:szCs w:val="24"/>
        </w:rPr>
        <w:t>.)</w:t>
      </w:r>
    </w:p>
    <w:tbl>
      <w:tblPr>
        <w:tblW w:w="0" w:type="auto"/>
        <w:shd w:val="clear" w:color="auto" w:fill="D9D9D9"/>
        <w:tblLook w:val="01E0" w:firstRow="1" w:lastRow="1" w:firstColumn="1" w:lastColumn="1" w:noHBand="0" w:noVBand="0"/>
      </w:tblPr>
      <w:tblGrid>
        <w:gridCol w:w="1373"/>
        <w:gridCol w:w="1119"/>
        <w:gridCol w:w="709"/>
        <w:gridCol w:w="2651"/>
        <w:gridCol w:w="987"/>
        <w:gridCol w:w="2233"/>
      </w:tblGrid>
      <w:tr w:rsidR="00F24BB4" w:rsidRPr="00913369" w14:paraId="3001FA90" w14:textId="77777777" w:rsidTr="008747AD">
        <w:tc>
          <w:tcPr>
            <w:tcW w:w="9180" w:type="dxa"/>
            <w:gridSpan w:val="6"/>
          </w:tcPr>
          <w:p w14:paraId="65776246"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bookmarkStart w:id="29" w:name="_Hlk207370360"/>
          </w:p>
        </w:tc>
      </w:tr>
      <w:tr w:rsidR="00F24BB4" w:rsidRPr="00913369" w14:paraId="5CEB6F6C" w14:textId="77777777" w:rsidTr="008747AD">
        <w:tc>
          <w:tcPr>
            <w:tcW w:w="1384" w:type="dxa"/>
            <w:hideMark/>
          </w:tcPr>
          <w:p w14:paraId="56F625B3"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Code postal</w:t>
            </w:r>
          </w:p>
        </w:tc>
        <w:tc>
          <w:tcPr>
            <w:tcW w:w="1134" w:type="dxa"/>
            <w:hideMark/>
          </w:tcPr>
          <w:p w14:paraId="3C11377E"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709" w:type="dxa"/>
            <w:hideMark/>
          </w:tcPr>
          <w:p w14:paraId="7B8AB316"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Ville</w:t>
            </w:r>
          </w:p>
        </w:tc>
        <w:tc>
          <w:tcPr>
            <w:tcW w:w="2693" w:type="dxa"/>
            <w:hideMark/>
          </w:tcPr>
          <w:p w14:paraId="13055CCA"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992" w:type="dxa"/>
            <w:shd w:val="clear" w:color="auto" w:fill="FFFFFF"/>
            <w:hideMark/>
          </w:tcPr>
          <w:p w14:paraId="4FC5665B"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Pays</w:t>
            </w:r>
          </w:p>
        </w:tc>
        <w:tc>
          <w:tcPr>
            <w:tcW w:w="2268" w:type="dxa"/>
            <w:hideMark/>
          </w:tcPr>
          <w:p w14:paraId="62F49B01"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bl>
    <w:p w14:paraId="4F1E57F4" w14:textId="77777777" w:rsidR="00F24BB4" w:rsidRPr="00913369" w:rsidRDefault="00F24BB4" w:rsidP="00F24BB4">
      <w:pPr>
        <w:spacing w:after="200" w:line="276" w:lineRule="auto"/>
        <w:rPr>
          <w:rFonts w:ascii="Times New Roman" w:eastAsia="Calibri" w:hAnsi="Times New Roman" w:cs="Times New Roman"/>
          <w:sz w:val="24"/>
          <w:szCs w:val="24"/>
          <w:u w:val="single"/>
        </w:rPr>
      </w:pPr>
    </w:p>
    <w:tbl>
      <w:tblPr>
        <w:tblW w:w="0" w:type="auto"/>
        <w:shd w:val="clear" w:color="auto" w:fill="D9D9D9"/>
        <w:tblLook w:val="01E0" w:firstRow="1" w:lastRow="1" w:firstColumn="1" w:lastColumn="1" w:noHBand="0" w:noVBand="0"/>
      </w:tblPr>
      <w:tblGrid>
        <w:gridCol w:w="1384"/>
        <w:gridCol w:w="2977"/>
      </w:tblGrid>
      <w:tr w:rsidR="00F24BB4" w:rsidRPr="00913369" w14:paraId="2BF7A4D2" w14:textId="77777777" w:rsidTr="008747AD">
        <w:tc>
          <w:tcPr>
            <w:tcW w:w="1384" w:type="dxa"/>
            <w:hideMark/>
          </w:tcPr>
          <w:p w14:paraId="5A20FDB0"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E-mail</w:t>
            </w:r>
          </w:p>
        </w:tc>
        <w:tc>
          <w:tcPr>
            <w:tcW w:w="2977" w:type="dxa"/>
            <w:hideMark/>
          </w:tcPr>
          <w:p w14:paraId="3EB11ECE"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bl>
    <w:p w14:paraId="567AD9EA" w14:textId="77777777" w:rsidR="00F24BB4" w:rsidRPr="00913369" w:rsidRDefault="00F24BB4" w:rsidP="00F24BB4">
      <w:pPr>
        <w:spacing w:after="200" w:line="276" w:lineRule="auto"/>
        <w:rPr>
          <w:rFonts w:ascii="Times New Roman" w:eastAsia="Calibri" w:hAnsi="Times New Roman" w:cs="Times New Roman"/>
          <w:sz w:val="24"/>
          <w:szCs w:val="24"/>
          <w:u w:val="single"/>
        </w:rPr>
      </w:pPr>
    </w:p>
    <w:tbl>
      <w:tblPr>
        <w:tblW w:w="0" w:type="auto"/>
        <w:shd w:val="clear" w:color="auto" w:fill="D9D9D9"/>
        <w:tblLook w:val="01E0" w:firstRow="1" w:lastRow="1" w:firstColumn="1" w:lastColumn="1" w:noHBand="0" w:noVBand="0"/>
      </w:tblPr>
      <w:tblGrid>
        <w:gridCol w:w="1378"/>
        <w:gridCol w:w="2919"/>
        <w:gridCol w:w="2519"/>
        <w:gridCol w:w="2256"/>
      </w:tblGrid>
      <w:tr w:rsidR="00F24BB4" w:rsidRPr="00913369" w14:paraId="6074A3CE" w14:textId="77777777" w:rsidTr="008747AD">
        <w:tc>
          <w:tcPr>
            <w:tcW w:w="1384" w:type="dxa"/>
            <w:hideMark/>
          </w:tcPr>
          <w:p w14:paraId="4206C6BE"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Fonction</w:t>
            </w:r>
          </w:p>
        </w:tc>
        <w:tc>
          <w:tcPr>
            <w:tcW w:w="2977" w:type="dxa"/>
            <w:hideMark/>
          </w:tcPr>
          <w:p w14:paraId="19032D9C"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2551" w:type="dxa"/>
            <w:hideMark/>
          </w:tcPr>
          <w:p w14:paraId="29F97132"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Date d’entrée en fonction</w:t>
            </w:r>
          </w:p>
        </w:tc>
        <w:tc>
          <w:tcPr>
            <w:tcW w:w="2300" w:type="dxa"/>
            <w:hideMark/>
          </w:tcPr>
          <w:p w14:paraId="6178557E"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bl>
    <w:p w14:paraId="75BCF84A" w14:textId="77777777" w:rsidR="00F24BB4" w:rsidRPr="00913369" w:rsidRDefault="00F24BB4" w:rsidP="00F24BB4">
      <w:pPr>
        <w:spacing w:after="200" w:line="276" w:lineRule="auto"/>
        <w:rPr>
          <w:rFonts w:ascii="Times New Roman" w:eastAsia="Calibri" w:hAnsi="Times New Roman" w:cs="Times New Roman"/>
          <w:sz w:val="24"/>
          <w:szCs w:val="24"/>
        </w:rPr>
      </w:pPr>
    </w:p>
    <w:tbl>
      <w:tblPr>
        <w:tblW w:w="9525" w:type="dxa"/>
        <w:shd w:val="clear" w:color="auto" w:fill="D9D9D9"/>
        <w:tblLayout w:type="fixed"/>
        <w:tblLook w:val="01E0" w:firstRow="1" w:lastRow="1" w:firstColumn="1" w:lastColumn="1" w:noHBand="0" w:noVBand="0"/>
      </w:tblPr>
      <w:tblGrid>
        <w:gridCol w:w="3510"/>
        <w:gridCol w:w="6015"/>
      </w:tblGrid>
      <w:tr w:rsidR="00F24BB4" w:rsidRPr="00913369" w14:paraId="30AC9F22" w14:textId="77777777" w:rsidTr="008747AD">
        <w:trPr>
          <w:trHeight w:val="330"/>
        </w:trPr>
        <w:tc>
          <w:tcPr>
            <w:tcW w:w="3510" w:type="dxa"/>
            <w:vMerge w:val="restart"/>
          </w:tcPr>
          <w:p w14:paraId="6D8E22A5" w14:textId="77777777" w:rsidR="00F24BB4" w:rsidRPr="00913369" w:rsidRDefault="00F24BB4" w:rsidP="008747AD">
            <w:pPr>
              <w:spacing w:before="120" w:after="120" w:line="276" w:lineRule="auto"/>
              <w:rPr>
                <w:rFonts w:ascii="Times New Roman" w:eastAsia="Calibri" w:hAnsi="Times New Roman" w:cs="Times New Roman"/>
                <w:i/>
                <w:sz w:val="24"/>
                <w:szCs w:val="24"/>
              </w:rPr>
            </w:pPr>
            <w:r w:rsidRPr="00913369">
              <w:rPr>
                <w:rFonts w:ascii="Times New Roman" w:eastAsia="Calibri" w:hAnsi="Times New Roman" w:cs="Times New Roman"/>
                <w:sz w:val="24"/>
                <w:szCs w:val="24"/>
              </w:rPr>
              <w:t>Niveau de connaissance en français</w:t>
            </w:r>
            <w:r w:rsidRPr="00913369">
              <w:rPr>
                <w:rFonts w:ascii="Times New Roman" w:eastAsia="Calibri" w:hAnsi="Times New Roman" w:cs="Times New Roman"/>
                <w:position w:val="6"/>
                <w:sz w:val="24"/>
                <w:szCs w:val="24"/>
                <w:bdr w:val="none" w:sz="0" w:space="0" w:color="auto" w:frame="1"/>
              </w:rPr>
              <w:footnoteReference w:id="2"/>
            </w:r>
            <w:r w:rsidRPr="00913369">
              <w:rPr>
                <w:rFonts w:ascii="Times New Roman" w:eastAsia="Calibri" w:hAnsi="Times New Roman" w:cs="Times New Roman"/>
                <w:sz w:val="24"/>
                <w:szCs w:val="24"/>
              </w:rPr>
              <w:t xml:space="preserve"> </w:t>
            </w:r>
            <w:r w:rsidRPr="00913369">
              <w:rPr>
                <w:rFonts w:ascii="Times New Roman" w:eastAsia="Calibri" w:hAnsi="Times New Roman" w:cs="Times New Roman"/>
                <w:sz w:val="24"/>
                <w:szCs w:val="24"/>
              </w:rPr>
              <w:br/>
            </w:r>
          </w:p>
          <w:p w14:paraId="00D40636"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c>
          <w:tcPr>
            <w:tcW w:w="6016" w:type="dxa"/>
            <w:hideMark/>
          </w:tcPr>
          <w:p w14:paraId="60FEF93E"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bookmarkEnd w:id="29"/>
      <w:tr w:rsidR="00F24BB4" w:rsidRPr="00913369" w14:paraId="4B0D4B4D" w14:textId="77777777" w:rsidTr="008747AD">
        <w:tc>
          <w:tcPr>
            <w:tcW w:w="3510" w:type="dxa"/>
            <w:vMerge/>
            <w:shd w:val="clear" w:color="auto" w:fill="D9D9D9"/>
            <w:vAlign w:val="center"/>
            <w:hideMark/>
          </w:tcPr>
          <w:p w14:paraId="6961B7F6" w14:textId="77777777" w:rsidR="00F24BB4" w:rsidRPr="00913369" w:rsidRDefault="00F24BB4" w:rsidP="008747AD">
            <w:pPr>
              <w:spacing w:after="200" w:line="276" w:lineRule="auto"/>
              <w:rPr>
                <w:rFonts w:ascii="Times New Roman" w:eastAsia="Calibri" w:hAnsi="Times New Roman" w:cs="Times New Roman"/>
                <w:sz w:val="24"/>
                <w:szCs w:val="24"/>
              </w:rPr>
            </w:pPr>
          </w:p>
        </w:tc>
        <w:tc>
          <w:tcPr>
            <w:tcW w:w="6016" w:type="dxa"/>
          </w:tcPr>
          <w:p w14:paraId="64DB45B0" w14:textId="77777777" w:rsidR="00F24BB4" w:rsidRPr="00913369" w:rsidRDefault="00F24BB4" w:rsidP="008747AD">
            <w:pPr>
              <w:spacing w:before="120" w:after="120" w:line="276" w:lineRule="auto"/>
              <w:jc w:val="both"/>
              <w:rPr>
                <w:rFonts w:ascii="Times New Roman" w:eastAsia="Calibri" w:hAnsi="Times New Roman" w:cs="Times New Roman"/>
                <w:sz w:val="24"/>
                <w:szCs w:val="24"/>
              </w:rPr>
            </w:pPr>
          </w:p>
        </w:tc>
      </w:tr>
    </w:tbl>
    <w:p w14:paraId="580EA50F" w14:textId="77777777" w:rsidR="00F24BB4" w:rsidRPr="00913369" w:rsidRDefault="00F24BB4" w:rsidP="00F24BB4">
      <w:pPr>
        <w:tabs>
          <w:tab w:val="left" w:pos="708"/>
        </w:tabs>
        <w:ind w:left="360" w:hanging="360"/>
        <w:jc w:val="both"/>
        <w:rPr>
          <w:rFonts w:ascii="Times New Roman" w:hAnsi="Times New Roman" w:cs="Times New Roman"/>
          <w:sz w:val="24"/>
          <w:szCs w:val="24"/>
        </w:rPr>
      </w:pPr>
    </w:p>
    <w:p w14:paraId="44DF135B" w14:textId="77777777" w:rsidR="00F24BB4" w:rsidRPr="00913369" w:rsidRDefault="00F24BB4" w:rsidP="00F24BB4">
      <w:pPr>
        <w:tabs>
          <w:tab w:val="left" w:pos="708"/>
        </w:tabs>
        <w:ind w:left="360" w:hanging="360"/>
        <w:jc w:val="center"/>
        <w:rPr>
          <w:rFonts w:ascii="Times New Roman" w:hAnsi="Times New Roman" w:cs="Times New Roman"/>
          <w:b/>
          <w:sz w:val="24"/>
          <w:szCs w:val="24"/>
          <w:u w:val="single"/>
        </w:rPr>
      </w:pPr>
      <w:r w:rsidRPr="00913369">
        <w:rPr>
          <w:rFonts w:ascii="Times New Roman" w:hAnsi="Times New Roman" w:cs="Times New Roman"/>
          <w:b/>
          <w:sz w:val="24"/>
          <w:szCs w:val="24"/>
          <w:u w:val="single"/>
        </w:rPr>
        <w:t>Questionnaire relatif à la personne intéressée</w:t>
      </w:r>
    </w:p>
    <w:p w14:paraId="3CF65AE8" w14:textId="77777777" w:rsidR="00F24BB4" w:rsidRPr="00913369" w:rsidRDefault="00F24BB4" w:rsidP="00F24BB4">
      <w:pPr>
        <w:tabs>
          <w:tab w:val="left" w:pos="708"/>
        </w:tabs>
        <w:ind w:left="360" w:hanging="360"/>
        <w:jc w:val="both"/>
        <w:rPr>
          <w:rFonts w:ascii="Times New Roman" w:hAnsi="Times New Roman" w:cs="Times New Roman"/>
          <w:sz w:val="24"/>
          <w:szCs w:val="24"/>
        </w:rPr>
      </w:pPr>
    </w:p>
    <w:p w14:paraId="520A4FBF" w14:textId="77777777" w:rsidR="00F24BB4" w:rsidRPr="00913369" w:rsidRDefault="00F24BB4" w:rsidP="00F24BB4">
      <w:pPr>
        <w:tabs>
          <w:tab w:val="num" w:pos="360"/>
        </w:tabs>
        <w:ind w:left="360" w:hanging="502"/>
        <w:jc w:val="both"/>
        <w:rPr>
          <w:rFonts w:ascii="Times New Roman" w:hAnsi="Times New Roman" w:cs="Times New Roman"/>
          <w:sz w:val="24"/>
          <w:szCs w:val="24"/>
        </w:rPr>
      </w:pPr>
      <w:r w:rsidRPr="00913369">
        <w:rPr>
          <w:rFonts w:ascii="Times New Roman" w:hAnsi="Times New Roman" w:cs="Times New Roman"/>
          <w:b/>
          <w:sz w:val="24"/>
          <w:szCs w:val="24"/>
        </w:rPr>
        <w:t>1. Nomination</w:t>
      </w:r>
      <w:r w:rsidRPr="00913369">
        <w:rPr>
          <w:rFonts w:ascii="Times New Roman" w:hAnsi="Times New Roman" w:cs="Times New Roman"/>
          <w:sz w:val="24"/>
          <w:szCs w:val="24"/>
        </w:rPr>
        <w:t xml:space="preserve"> : </w:t>
      </w:r>
    </w:p>
    <w:p w14:paraId="70A22794" w14:textId="77777777" w:rsidR="00F24BB4" w:rsidRPr="00913369" w:rsidRDefault="00F24BB4" w:rsidP="00F24BB4">
      <w:pPr>
        <w:tabs>
          <w:tab w:val="left" w:pos="708"/>
        </w:tabs>
        <w:ind w:left="360"/>
        <w:jc w:val="both"/>
        <w:rPr>
          <w:rFonts w:ascii="Times New Roman" w:hAnsi="Times New Roman" w:cs="Times New Roman"/>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5329"/>
      </w:tblGrid>
      <w:tr w:rsidR="00F24BB4" w:rsidRPr="00913369" w14:paraId="1B37FC2A" w14:textId="77777777" w:rsidTr="008747AD">
        <w:tc>
          <w:tcPr>
            <w:tcW w:w="3434" w:type="dxa"/>
            <w:tcBorders>
              <w:top w:val="single" w:sz="4" w:space="0" w:color="auto"/>
              <w:left w:val="single" w:sz="4" w:space="0" w:color="auto"/>
              <w:bottom w:val="single" w:sz="4" w:space="0" w:color="auto"/>
              <w:right w:val="single" w:sz="4" w:space="0" w:color="auto"/>
            </w:tcBorders>
            <w:shd w:val="clear" w:color="auto" w:fill="D9D9D9"/>
            <w:hideMark/>
          </w:tcPr>
          <w:p w14:paraId="17D546C3" w14:textId="77777777" w:rsidR="00F24BB4" w:rsidRPr="00913369" w:rsidRDefault="00F24BB4" w:rsidP="008747AD">
            <w:pPr>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Fonctions actuellement exercées au sein de l’entreprise avant la nomination (le cas échéant)</w:t>
            </w:r>
          </w:p>
        </w:tc>
        <w:tc>
          <w:tcPr>
            <w:tcW w:w="5492" w:type="dxa"/>
            <w:tcBorders>
              <w:top w:val="single" w:sz="4" w:space="0" w:color="auto"/>
              <w:left w:val="single" w:sz="4" w:space="0" w:color="auto"/>
              <w:bottom w:val="single" w:sz="4" w:space="0" w:color="auto"/>
              <w:right w:val="single" w:sz="4" w:space="0" w:color="auto"/>
            </w:tcBorders>
          </w:tcPr>
          <w:p w14:paraId="6C087330"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r w:rsidR="00F24BB4" w:rsidRPr="00913369" w14:paraId="2F40C41E" w14:textId="77777777" w:rsidTr="008747AD">
        <w:tc>
          <w:tcPr>
            <w:tcW w:w="3434" w:type="dxa"/>
            <w:tcBorders>
              <w:top w:val="single" w:sz="4" w:space="0" w:color="auto"/>
              <w:left w:val="single" w:sz="4" w:space="0" w:color="auto"/>
              <w:bottom w:val="single" w:sz="4" w:space="0" w:color="auto"/>
              <w:right w:val="single" w:sz="4" w:space="0" w:color="auto"/>
            </w:tcBorders>
            <w:shd w:val="clear" w:color="auto" w:fill="D9D9D9"/>
            <w:hideMark/>
          </w:tcPr>
          <w:p w14:paraId="4DD19752" w14:textId="77777777" w:rsidR="00F24BB4" w:rsidRPr="00913369" w:rsidRDefault="00F24BB4" w:rsidP="008747AD">
            <w:pPr>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Fonctions exercées après la nomination</w:t>
            </w:r>
          </w:p>
        </w:tc>
        <w:tc>
          <w:tcPr>
            <w:tcW w:w="5492" w:type="dxa"/>
            <w:tcBorders>
              <w:top w:val="single" w:sz="4" w:space="0" w:color="auto"/>
              <w:left w:val="single" w:sz="4" w:space="0" w:color="auto"/>
              <w:bottom w:val="single" w:sz="4" w:space="0" w:color="auto"/>
              <w:right w:val="single" w:sz="4" w:space="0" w:color="auto"/>
            </w:tcBorders>
          </w:tcPr>
          <w:p w14:paraId="7CA70A3D"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bl>
    <w:p w14:paraId="62B07369" w14:textId="77777777" w:rsidR="00F24BB4" w:rsidRPr="00913369" w:rsidRDefault="00F24BB4" w:rsidP="00F24BB4">
      <w:pPr>
        <w:tabs>
          <w:tab w:val="left" w:pos="708"/>
        </w:tabs>
        <w:ind w:left="360"/>
        <w:jc w:val="both"/>
        <w:rPr>
          <w:rFonts w:ascii="Times New Roman" w:hAnsi="Times New Roman" w:cs="Times New Roman"/>
          <w:sz w:val="24"/>
          <w:szCs w:val="24"/>
        </w:rPr>
      </w:pPr>
    </w:p>
    <w:p w14:paraId="26486C0C" w14:textId="77777777" w:rsidR="00F24BB4" w:rsidRPr="00913369" w:rsidRDefault="00F24BB4" w:rsidP="00F24BB4">
      <w:pPr>
        <w:tabs>
          <w:tab w:val="left" w:pos="708"/>
        </w:tabs>
        <w:spacing w:after="240"/>
        <w:ind w:left="360"/>
        <w:jc w:val="both"/>
        <w:rPr>
          <w:rFonts w:ascii="Times New Roman" w:hAnsi="Times New Roman" w:cs="Times New Roman"/>
          <w:sz w:val="24"/>
          <w:szCs w:val="24"/>
        </w:rPr>
      </w:pPr>
      <w:r w:rsidRPr="00913369">
        <w:rPr>
          <w:rFonts w:ascii="Times New Roman" w:hAnsi="Times New Roman" w:cs="Times New Roman"/>
          <w:sz w:val="24"/>
          <w:szCs w:val="24"/>
        </w:rPr>
        <w:t xml:space="preserve">Pour les dirigeants effectifs, joindre le procès-verbal du Conseil d’administration ou du Conseil de surveillance nommant la personne concernée par la présente demande comme </w:t>
      </w:r>
      <w:r w:rsidRPr="00913369">
        <w:rPr>
          <w:rFonts w:ascii="Times New Roman" w:hAnsi="Times New Roman" w:cs="Times New Roman"/>
          <w:sz w:val="24"/>
          <w:szCs w:val="24"/>
        </w:rPr>
        <w:lastRenderedPageBreak/>
        <w:t>dirigeant effectif, si cette personne n’exerce pas une fonction conférant la qualité de dirigeant effectif.</w:t>
      </w:r>
    </w:p>
    <w:p w14:paraId="4365C739" w14:textId="77777777" w:rsidR="00F24BB4" w:rsidRPr="00913369" w:rsidRDefault="00F24BB4" w:rsidP="00F24BB4">
      <w:pPr>
        <w:tabs>
          <w:tab w:val="left" w:pos="708"/>
        </w:tabs>
        <w:spacing w:after="240"/>
        <w:ind w:left="-142"/>
        <w:jc w:val="both"/>
        <w:rPr>
          <w:rFonts w:ascii="Times New Roman" w:hAnsi="Times New Roman" w:cs="Times New Roman"/>
          <w:sz w:val="24"/>
          <w:szCs w:val="24"/>
        </w:rPr>
      </w:pPr>
      <w:r w:rsidRPr="00913369">
        <w:rPr>
          <w:rFonts w:ascii="Times New Roman" w:hAnsi="Times New Roman" w:cs="Times New Roman"/>
          <w:b/>
          <w:sz w:val="24"/>
          <w:szCs w:val="24"/>
        </w:rPr>
        <w:t>2.</w:t>
      </w:r>
      <w:r w:rsidRPr="00913369">
        <w:rPr>
          <w:rFonts w:ascii="Times New Roman" w:hAnsi="Times New Roman" w:cs="Times New Roman"/>
          <w:sz w:val="24"/>
          <w:szCs w:val="24"/>
        </w:rPr>
        <w:t xml:space="preserve"> Renseignez le tableau ci-dessous recensant les dirigeants mentionnés à l’article LP 322</w:t>
      </w:r>
      <w:r w:rsidRPr="00913369">
        <w:rPr>
          <w:rFonts w:ascii="Times New Roman" w:hAnsi="Times New Roman" w:cs="Times New Roman"/>
          <w:sz w:val="24"/>
          <w:szCs w:val="24"/>
        </w:rPr>
        <w:noBreakHyphen/>
        <w:t xml:space="preserve">3 ou les dirigeants effectifs mentionnés à l’article </w:t>
      </w:r>
      <w:bookmarkStart w:id="30" w:name="_Hlk207370454"/>
      <w:r w:rsidRPr="00913369">
        <w:rPr>
          <w:rFonts w:ascii="Times New Roman" w:hAnsi="Times New Roman" w:cs="Times New Roman"/>
          <w:sz w:val="24"/>
          <w:szCs w:val="24"/>
        </w:rPr>
        <w:t>DEL 323-35</w:t>
      </w:r>
      <w:bookmarkEnd w:id="30"/>
      <w:r w:rsidRPr="00913369">
        <w:rPr>
          <w:rFonts w:ascii="Times New Roman" w:hAnsi="Times New Roman" w:cs="Times New Roman"/>
          <w:sz w:val="24"/>
          <w:szCs w:val="24"/>
        </w:rPr>
        <w:t xml:space="preserve">, y compris la personne concernée par la présente demande et détaillant les attributions, les connaissances (formation initiale, formation continue) et l’expérience (faire notamment figurer les éventuelles autres fonctions exercées au cours des dix dernières années). </w:t>
      </w:r>
    </w:p>
    <w:p w14:paraId="3298BEC2" w14:textId="77777777" w:rsidR="00F24BB4" w:rsidRPr="00913369" w:rsidRDefault="00F24BB4" w:rsidP="00F24BB4">
      <w:pPr>
        <w:jc w:val="both"/>
        <w:rPr>
          <w:rFonts w:ascii="Times New Roman" w:hAnsi="Times New Roman" w:cs="Times New Roman"/>
          <w:sz w:val="24"/>
          <w:szCs w:val="24"/>
        </w:rPr>
      </w:pPr>
    </w:p>
    <w:p w14:paraId="28DAE548" w14:textId="77777777" w:rsidR="00F24BB4" w:rsidRPr="00913369" w:rsidRDefault="00F24BB4" w:rsidP="00F24BB4">
      <w:pPr>
        <w:ind w:left="360"/>
        <w:jc w:val="both"/>
        <w:rPr>
          <w:rFonts w:ascii="Times New Roman" w:hAnsi="Times New Roman" w:cs="Times New Roman"/>
          <w:sz w:val="24"/>
          <w:szCs w:val="24"/>
        </w:rPr>
      </w:pPr>
      <w:r w:rsidRPr="00913369">
        <w:rPr>
          <w:rFonts w:ascii="Times New Roman" w:hAnsi="Times New Roman" w:cs="Times New Roman"/>
          <w:sz w:val="24"/>
          <w:szCs w:val="24"/>
        </w:rPr>
        <w:t>Joindre un organigramme fonctionnel de l’entreprise ou de la succursale pour laquelle la présente déclaration est faite. L’organigramme devra préciser les modalités de partage des responsabilités avec les autres dirigeants.</w:t>
      </w:r>
    </w:p>
    <w:p w14:paraId="709AB599" w14:textId="77777777" w:rsidR="00F24BB4" w:rsidRPr="00913369" w:rsidRDefault="00F24BB4" w:rsidP="00F24BB4">
      <w:pPr>
        <w:spacing w:before="100" w:beforeAutospacing="1" w:after="100" w:afterAutospacing="1" w:line="276" w:lineRule="auto"/>
        <w:contextualSpacing/>
        <w:rPr>
          <w:rFonts w:ascii="Times New Roman" w:eastAsia="Calibri" w:hAnsi="Times New Roman" w:cs="Times New Roman"/>
          <w:sz w:val="24"/>
          <w:szCs w:val="24"/>
        </w:rPr>
      </w:pP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0"/>
        <w:gridCol w:w="1384"/>
        <w:gridCol w:w="1430"/>
        <w:gridCol w:w="1277"/>
        <w:gridCol w:w="1829"/>
        <w:gridCol w:w="1975"/>
      </w:tblGrid>
      <w:tr w:rsidR="00F24BB4" w:rsidRPr="00913369" w14:paraId="29C86262" w14:textId="77777777" w:rsidTr="008747AD">
        <w:trPr>
          <w:trHeight w:val="799"/>
          <w:jc w:val="center"/>
        </w:trPr>
        <w:tc>
          <w:tcPr>
            <w:tcW w:w="1300" w:type="dxa"/>
            <w:tcBorders>
              <w:top w:val="single" w:sz="4" w:space="0" w:color="auto"/>
              <w:left w:val="single" w:sz="4" w:space="0" w:color="auto"/>
              <w:bottom w:val="single" w:sz="4" w:space="0" w:color="auto"/>
              <w:right w:val="single" w:sz="4" w:space="0" w:color="auto"/>
            </w:tcBorders>
            <w:shd w:val="clear" w:color="auto" w:fill="D9D9D9"/>
            <w:hideMark/>
          </w:tcPr>
          <w:p w14:paraId="7A35A27E"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Identité et fonctions</w:t>
            </w:r>
          </w:p>
        </w:tc>
        <w:tc>
          <w:tcPr>
            <w:tcW w:w="1384" w:type="dxa"/>
            <w:tcBorders>
              <w:top w:val="single" w:sz="4" w:space="0" w:color="auto"/>
              <w:left w:val="single" w:sz="4" w:space="0" w:color="auto"/>
              <w:bottom w:val="single" w:sz="4" w:space="0" w:color="auto"/>
              <w:right w:val="single" w:sz="4" w:space="0" w:color="auto"/>
            </w:tcBorders>
            <w:shd w:val="clear" w:color="auto" w:fill="D9D9D9"/>
          </w:tcPr>
          <w:p w14:paraId="76A7BBF9" w14:textId="77777777" w:rsidR="00F24BB4" w:rsidRPr="00913369" w:rsidRDefault="00F24BB4" w:rsidP="008747AD">
            <w:pPr>
              <w:jc w:val="center"/>
              <w:rPr>
                <w:rFonts w:ascii="Times New Roman" w:eastAsia="Calibri" w:hAnsi="Times New Roman" w:cs="Times New Roman"/>
                <w:sz w:val="24"/>
                <w:szCs w:val="24"/>
              </w:rPr>
            </w:pPr>
          </w:p>
          <w:p w14:paraId="1BE33792"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Attributions</w:t>
            </w:r>
          </w:p>
        </w:tc>
        <w:tc>
          <w:tcPr>
            <w:tcW w:w="14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D7961B"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Date de nomination et, le cas échéant, durée du mandat</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A6813F"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Formation initiale et continue</w:t>
            </w:r>
          </w:p>
        </w:tc>
        <w:tc>
          <w:tcPr>
            <w:tcW w:w="182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B9160B"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Expérience</w:t>
            </w:r>
          </w:p>
          <w:p w14:paraId="2C8F7AC4"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(assurance/hors assurance en précisant la durée)*</w:t>
            </w: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6571B8"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Autres compétences </w:t>
            </w:r>
          </w:p>
        </w:tc>
      </w:tr>
      <w:tr w:rsidR="00F24BB4" w:rsidRPr="00913369" w14:paraId="536416D3" w14:textId="77777777" w:rsidTr="008747AD">
        <w:trPr>
          <w:jc w:val="center"/>
        </w:trPr>
        <w:tc>
          <w:tcPr>
            <w:tcW w:w="1300" w:type="dxa"/>
            <w:tcBorders>
              <w:top w:val="single" w:sz="4" w:space="0" w:color="auto"/>
              <w:left w:val="single" w:sz="4" w:space="0" w:color="auto"/>
              <w:bottom w:val="single" w:sz="4" w:space="0" w:color="auto"/>
              <w:right w:val="single" w:sz="4" w:space="0" w:color="auto"/>
            </w:tcBorders>
          </w:tcPr>
          <w:p w14:paraId="07730878" w14:textId="77777777" w:rsidR="00F24BB4" w:rsidRPr="00913369" w:rsidRDefault="00F24BB4" w:rsidP="008747AD">
            <w:pPr>
              <w:jc w:val="both"/>
              <w:rPr>
                <w:rFonts w:ascii="Times New Roman" w:eastAsia="Calibri" w:hAnsi="Times New Roman" w:cs="Times New Roman"/>
                <w:sz w:val="24"/>
                <w:szCs w:val="24"/>
              </w:rPr>
            </w:pPr>
          </w:p>
        </w:tc>
        <w:tc>
          <w:tcPr>
            <w:tcW w:w="1384" w:type="dxa"/>
            <w:tcBorders>
              <w:top w:val="single" w:sz="4" w:space="0" w:color="auto"/>
              <w:left w:val="single" w:sz="4" w:space="0" w:color="auto"/>
              <w:bottom w:val="single" w:sz="4" w:space="0" w:color="auto"/>
              <w:right w:val="single" w:sz="4" w:space="0" w:color="auto"/>
            </w:tcBorders>
          </w:tcPr>
          <w:p w14:paraId="6318A647" w14:textId="77777777" w:rsidR="00F24BB4" w:rsidRPr="00913369" w:rsidRDefault="00F24BB4" w:rsidP="008747AD">
            <w:pPr>
              <w:jc w:val="both"/>
              <w:rPr>
                <w:rFonts w:ascii="Times New Roman" w:eastAsia="Calibri"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43AFE4F5" w14:textId="77777777" w:rsidR="00F24BB4" w:rsidRPr="00913369" w:rsidRDefault="00F24BB4" w:rsidP="008747AD">
            <w:pPr>
              <w:jc w:val="both"/>
              <w:rPr>
                <w:rFonts w:ascii="Times New Roman" w:eastAsia="Calibri" w:hAnsi="Times New Roman" w:cs="Times New Roman"/>
                <w:sz w:val="24"/>
                <w:szCs w:val="24"/>
              </w:rPr>
            </w:pPr>
          </w:p>
        </w:tc>
        <w:tc>
          <w:tcPr>
            <w:tcW w:w="1277" w:type="dxa"/>
            <w:tcBorders>
              <w:top w:val="single" w:sz="4" w:space="0" w:color="auto"/>
              <w:left w:val="single" w:sz="4" w:space="0" w:color="auto"/>
              <w:bottom w:val="single" w:sz="4" w:space="0" w:color="auto"/>
              <w:right w:val="single" w:sz="4" w:space="0" w:color="auto"/>
            </w:tcBorders>
          </w:tcPr>
          <w:p w14:paraId="4DEF6BD0" w14:textId="77777777" w:rsidR="00F24BB4" w:rsidRPr="00913369" w:rsidRDefault="00F24BB4" w:rsidP="008747AD">
            <w:pPr>
              <w:jc w:val="both"/>
              <w:rPr>
                <w:rFonts w:ascii="Times New Roman" w:eastAsia="Calibri" w:hAnsi="Times New Roman" w:cs="Times New Roman"/>
                <w:sz w:val="24"/>
                <w:szCs w:val="24"/>
              </w:rPr>
            </w:pPr>
          </w:p>
        </w:tc>
        <w:tc>
          <w:tcPr>
            <w:tcW w:w="1829" w:type="dxa"/>
            <w:tcBorders>
              <w:top w:val="single" w:sz="4" w:space="0" w:color="auto"/>
              <w:left w:val="single" w:sz="4" w:space="0" w:color="auto"/>
              <w:bottom w:val="single" w:sz="4" w:space="0" w:color="auto"/>
              <w:right w:val="single" w:sz="4" w:space="0" w:color="auto"/>
            </w:tcBorders>
          </w:tcPr>
          <w:p w14:paraId="7507D81C" w14:textId="77777777" w:rsidR="00F24BB4" w:rsidRPr="00913369" w:rsidRDefault="00F24BB4" w:rsidP="008747AD">
            <w:pPr>
              <w:jc w:val="both"/>
              <w:rPr>
                <w:rFonts w:ascii="Times New Roman" w:eastAsia="Calibri" w:hAnsi="Times New Roman" w:cs="Times New Roman"/>
                <w:sz w:val="24"/>
                <w:szCs w:val="24"/>
              </w:rPr>
            </w:pPr>
          </w:p>
        </w:tc>
        <w:tc>
          <w:tcPr>
            <w:tcW w:w="1975" w:type="dxa"/>
            <w:tcBorders>
              <w:top w:val="single" w:sz="4" w:space="0" w:color="auto"/>
              <w:left w:val="single" w:sz="4" w:space="0" w:color="auto"/>
              <w:bottom w:val="single" w:sz="4" w:space="0" w:color="auto"/>
              <w:right w:val="single" w:sz="4" w:space="0" w:color="auto"/>
            </w:tcBorders>
          </w:tcPr>
          <w:p w14:paraId="48FAAA4D" w14:textId="77777777" w:rsidR="00F24BB4" w:rsidRPr="00913369" w:rsidRDefault="00F24BB4" w:rsidP="008747AD">
            <w:pPr>
              <w:jc w:val="both"/>
              <w:rPr>
                <w:rFonts w:ascii="Times New Roman" w:eastAsia="Calibri" w:hAnsi="Times New Roman" w:cs="Times New Roman"/>
                <w:sz w:val="24"/>
                <w:szCs w:val="24"/>
              </w:rPr>
            </w:pPr>
          </w:p>
        </w:tc>
      </w:tr>
      <w:tr w:rsidR="00F24BB4" w:rsidRPr="00913369" w14:paraId="2C991E97" w14:textId="77777777" w:rsidTr="008747AD">
        <w:trPr>
          <w:jc w:val="center"/>
        </w:trPr>
        <w:tc>
          <w:tcPr>
            <w:tcW w:w="1300" w:type="dxa"/>
            <w:tcBorders>
              <w:top w:val="single" w:sz="4" w:space="0" w:color="auto"/>
              <w:left w:val="single" w:sz="4" w:space="0" w:color="auto"/>
              <w:bottom w:val="single" w:sz="4" w:space="0" w:color="auto"/>
              <w:right w:val="single" w:sz="4" w:space="0" w:color="auto"/>
            </w:tcBorders>
          </w:tcPr>
          <w:p w14:paraId="41CC881A" w14:textId="77777777" w:rsidR="00F24BB4" w:rsidRPr="00913369" w:rsidRDefault="00F24BB4" w:rsidP="008747AD">
            <w:pPr>
              <w:jc w:val="both"/>
              <w:rPr>
                <w:rFonts w:ascii="Times New Roman" w:eastAsia="Calibri" w:hAnsi="Times New Roman" w:cs="Times New Roman"/>
                <w:sz w:val="24"/>
                <w:szCs w:val="24"/>
              </w:rPr>
            </w:pPr>
          </w:p>
        </w:tc>
        <w:tc>
          <w:tcPr>
            <w:tcW w:w="1384" w:type="dxa"/>
            <w:tcBorders>
              <w:top w:val="single" w:sz="4" w:space="0" w:color="auto"/>
              <w:left w:val="single" w:sz="4" w:space="0" w:color="auto"/>
              <w:bottom w:val="single" w:sz="4" w:space="0" w:color="auto"/>
              <w:right w:val="single" w:sz="4" w:space="0" w:color="auto"/>
            </w:tcBorders>
          </w:tcPr>
          <w:p w14:paraId="5E8E130D" w14:textId="77777777" w:rsidR="00F24BB4" w:rsidRPr="00913369" w:rsidRDefault="00F24BB4" w:rsidP="008747AD">
            <w:pPr>
              <w:jc w:val="both"/>
              <w:rPr>
                <w:rFonts w:ascii="Times New Roman" w:eastAsia="Calibri"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0B7DD01D" w14:textId="77777777" w:rsidR="00F24BB4" w:rsidRPr="00913369" w:rsidRDefault="00F24BB4" w:rsidP="008747AD">
            <w:pPr>
              <w:jc w:val="both"/>
              <w:rPr>
                <w:rFonts w:ascii="Times New Roman" w:eastAsia="Calibri" w:hAnsi="Times New Roman" w:cs="Times New Roman"/>
                <w:sz w:val="24"/>
                <w:szCs w:val="24"/>
              </w:rPr>
            </w:pPr>
          </w:p>
        </w:tc>
        <w:tc>
          <w:tcPr>
            <w:tcW w:w="1277" w:type="dxa"/>
            <w:tcBorders>
              <w:top w:val="single" w:sz="4" w:space="0" w:color="auto"/>
              <w:left w:val="single" w:sz="4" w:space="0" w:color="auto"/>
              <w:bottom w:val="single" w:sz="4" w:space="0" w:color="auto"/>
              <w:right w:val="single" w:sz="4" w:space="0" w:color="auto"/>
            </w:tcBorders>
          </w:tcPr>
          <w:p w14:paraId="74A59BB5" w14:textId="77777777" w:rsidR="00F24BB4" w:rsidRPr="00913369" w:rsidRDefault="00F24BB4" w:rsidP="008747AD">
            <w:pPr>
              <w:jc w:val="both"/>
              <w:rPr>
                <w:rFonts w:ascii="Times New Roman" w:eastAsia="Calibri" w:hAnsi="Times New Roman" w:cs="Times New Roman"/>
                <w:sz w:val="24"/>
                <w:szCs w:val="24"/>
              </w:rPr>
            </w:pPr>
          </w:p>
        </w:tc>
        <w:tc>
          <w:tcPr>
            <w:tcW w:w="1829" w:type="dxa"/>
            <w:tcBorders>
              <w:top w:val="single" w:sz="4" w:space="0" w:color="auto"/>
              <w:left w:val="single" w:sz="4" w:space="0" w:color="auto"/>
              <w:bottom w:val="single" w:sz="4" w:space="0" w:color="auto"/>
              <w:right w:val="single" w:sz="4" w:space="0" w:color="auto"/>
            </w:tcBorders>
          </w:tcPr>
          <w:p w14:paraId="10537148" w14:textId="77777777" w:rsidR="00F24BB4" w:rsidRPr="00913369" w:rsidRDefault="00F24BB4" w:rsidP="008747AD">
            <w:pPr>
              <w:jc w:val="both"/>
              <w:rPr>
                <w:rFonts w:ascii="Times New Roman" w:eastAsia="Calibri" w:hAnsi="Times New Roman" w:cs="Times New Roman"/>
                <w:sz w:val="24"/>
                <w:szCs w:val="24"/>
              </w:rPr>
            </w:pPr>
          </w:p>
        </w:tc>
        <w:tc>
          <w:tcPr>
            <w:tcW w:w="1975" w:type="dxa"/>
            <w:tcBorders>
              <w:top w:val="single" w:sz="4" w:space="0" w:color="auto"/>
              <w:left w:val="single" w:sz="4" w:space="0" w:color="auto"/>
              <w:bottom w:val="single" w:sz="4" w:space="0" w:color="auto"/>
              <w:right w:val="single" w:sz="4" w:space="0" w:color="auto"/>
            </w:tcBorders>
          </w:tcPr>
          <w:p w14:paraId="6C2D9AD0" w14:textId="77777777" w:rsidR="00F24BB4" w:rsidRPr="00913369" w:rsidRDefault="00F24BB4" w:rsidP="008747AD">
            <w:pPr>
              <w:jc w:val="both"/>
              <w:rPr>
                <w:rFonts w:ascii="Times New Roman" w:eastAsia="Calibri" w:hAnsi="Times New Roman" w:cs="Times New Roman"/>
                <w:sz w:val="24"/>
                <w:szCs w:val="24"/>
              </w:rPr>
            </w:pPr>
          </w:p>
        </w:tc>
      </w:tr>
      <w:tr w:rsidR="00F24BB4" w:rsidRPr="00913369" w14:paraId="3887E8D2" w14:textId="77777777" w:rsidTr="008747AD">
        <w:trPr>
          <w:jc w:val="center"/>
        </w:trPr>
        <w:tc>
          <w:tcPr>
            <w:tcW w:w="1300" w:type="dxa"/>
            <w:tcBorders>
              <w:top w:val="single" w:sz="4" w:space="0" w:color="auto"/>
              <w:left w:val="single" w:sz="4" w:space="0" w:color="auto"/>
              <w:bottom w:val="single" w:sz="4" w:space="0" w:color="auto"/>
              <w:right w:val="single" w:sz="4" w:space="0" w:color="auto"/>
            </w:tcBorders>
          </w:tcPr>
          <w:p w14:paraId="0937589B" w14:textId="77777777" w:rsidR="00F24BB4" w:rsidRPr="00913369" w:rsidRDefault="00F24BB4" w:rsidP="008747AD">
            <w:pPr>
              <w:jc w:val="both"/>
              <w:rPr>
                <w:rFonts w:ascii="Times New Roman" w:eastAsia="Calibri" w:hAnsi="Times New Roman" w:cs="Times New Roman"/>
                <w:sz w:val="24"/>
                <w:szCs w:val="24"/>
              </w:rPr>
            </w:pPr>
          </w:p>
        </w:tc>
        <w:tc>
          <w:tcPr>
            <w:tcW w:w="1384" w:type="dxa"/>
            <w:tcBorders>
              <w:top w:val="single" w:sz="4" w:space="0" w:color="auto"/>
              <w:left w:val="single" w:sz="4" w:space="0" w:color="auto"/>
              <w:bottom w:val="single" w:sz="4" w:space="0" w:color="auto"/>
              <w:right w:val="single" w:sz="4" w:space="0" w:color="auto"/>
            </w:tcBorders>
          </w:tcPr>
          <w:p w14:paraId="2B4EEC4E" w14:textId="77777777" w:rsidR="00F24BB4" w:rsidRPr="00913369" w:rsidRDefault="00F24BB4" w:rsidP="008747AD">
            <w:pPr>
              <w:jc w:val="both"/>
              <w:rPr>
                <w:rFonts w:ascii="Times New Roman" w:eastAsia="Calibri"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0DCC3672" w14:textId="77777777" w:rsidR="00F24BB4" w:rsidRPr="00913369" w:rsidRDefault="00F24BB4" w:rsidP="008747AD">
            <w:pPr>
              <w:jc w:val="both"/>
              <w:rPr>
                <w:rFonts w:ascii="Times New Roman" w:eastAsia="Calibri" w:hAnsi="Times New Roman" w:cs="Times New Roman"/>
                <w:sz w:val="24"/>
                <w:szCs w:val="24"/>
              </w:rPr>
            </w:pPr>
          </w:p>
        </w:tc>
        <w:tc>
          <w:tcPr>
            <w:tcW w:w="1277" w:type="dxa"/>
            <w:tcBorders>
              <w:top w:val="single" w:sz="4" w:space="0" w:color="auto"/>
              <w:left w:val="single" w:sz="4" w:space="0" w:color="auto"/>
              <w:bottom w:val="single" w:sz="4" w:space="0" w:color="auto"/>
              <w:right w:val="single" w:sz="4" w:space="0" w:color="auto"/>
            </w:tcBorders>
          </w:tcPr>
          <w:p w14:paraId="6E51592D" w14:textId="77777777" w:rsidR="00F24BB4" w:rsidRPr="00913369" w:rsidRDefault="00F24BB4" w:rsidP="008747AD">
            <w:pPr>
              <w:jc w:val="both"/>
              <w:rPr>
                <w:rFonts w:ascii="Times New Roman" w:eastAsia="Calibri" w:hAnsi="Times New Roman" w:cs="Times New Roman"/>
                <w:sz w:val="24"/>
                <w:szCs w:val="24"/>
              </w:rPr>
            </w:pPr>
          </w:p>
        </w:tc>
        <w:tc>
          <w:tcPr>
            <w:tcW w:w="1829" w:type="dxa"/>
            <w:tcBorders>
              <w:top w:val="single" w:sz="4" w:space="0" w:color="auto"/>
              <w:left w:val="single" w:sz="4" w:space="0" w:color="auto"/>
              <w:bottom w:val="single" w:sz="4" w:space="0" w:color="auto"/>
              <w:right w:val="single" w:sz="4" w:space="0" w:color="auto"/>
            </w:tcBorders>
          </w:tcPr>
          <w:p w14:paraId="41D7022B" w14:textId="77777777" w:rsidR="00F24BB4" w:rsidRPr="00913369" w:rsidRDefault="00F24BB4" w:rsidP="008747AD">
            <w:pPr>
              <w:jc w:val="both"/>
              <w:rPr>
                <w:rFonts w:ascii="Times New Roman" w:eastAsia="Calibri" w:hAnsi="Times New Roman" w:cs="Times New Roman"/>
                <w:sz w:val="24"/>
                <w:szCs w:val="24"/>
              </w:rPr>
            </w:pPr>
          </w:p>
        </w:tc>
        <w:tc>
          <w:tcPr>
            <w:tcW w:w="1975" w:type="dxa"/>
            <w:tcBorders>
              <w:top w:val="single" w:sz="4" w:space="0" w:color="auto"/>
              <w:left w:val="single" w:sz="4" w:space="0" w:color="auto"/>
              <w:bottom w:val="single" w:sz="4" w:space="0" w:color="auto"/>
              <w:right w:val="single" w:sz="4" w:space="0" w:color="auto"/>
            </w:tcBorders>
          </w:tcPr>
          <w:p w14:paraId="707AF7F8" w14:textId="77777777" w:rsidR="00F24BB4" w:rsidRPr="00913369" w:rsidRDefault="00F24BB4" w:rsidP="008747AD">
            <w:pPr>
              <w:jc w:val="both"/>
              <w:rPr>
                <w:rFonts w:ascii="Times New Roman" w:eastAsia="Calibri" w:hAnsi="Times New Roman" w:cs="Times New Roman"/>
                <w:sz w:val="24"/>
                <w:szCs w:val="24"/>
              </w:rPr>
            </w:pPr>
          </w:p>
        </w:tc>
      </w:tr>
      <w:tr w:rsidR="00F24BB4" w:rsidRPr="00913369" w14:paraId="7CE2B07B" w14:textId="77777777" w:rsidTr="008747AD">
        <w:trPr>
          <w:jc w:val="center"/>
        </w:trPr>
        <w:tc>
          <w:tcPr>
            <w:tcW w:w="1300" w:type="dxa"/>
            <w:tcBorders>
              <w:top w:val="single" w:sz="4" w:space="0" w:color="auto"/>
              <w:left w:val="single" w:sz="4" w:space="0" w:color="auto"/>
              <w:bottom w:val="single" w:sz="4" w:space="0" w:color="auto"/>
              <w:right w:val="single" w:sz="4" w:space="0" w:color="auto"/>
            </w:tcBorders>
          </w:tcPr>
          <w:p w14:paraId="50FB805A" w14:textId="77777777" w:rsidR="00F24BB4" w:rsidRPr="00913369" w:rsidRDefault="00F24BB4" w:rsidP="008747AD">
            <w:pPr>
              <w:jc w:val="both"/>
              <w:rPr>
                <w:rFonts w:ascii="Times New Roman" w:eastAsia="Calibri" w:hAnsi="Times New Roman" w:cs="Times New Roman"/>
                <w:sz w:val="24"/>
                <w:szCs w:val="24"/>
              </w:rPr>
            </w:pPr>
          </w:p>
        </w:tc>
        <w:tc>
          <w:tcPr>
            <w:tcW w:w="1384" w:type="dxa"/>
            <w:tcBorders>
              <w:top w:val="single" w:sz="4" w:space="0" w:color="auto"/>
              <w:left w:val="single" w:sz="4" w:space="0" w:color="auto"/>
              <w:bottom w:val="single" w:sz="4" w:space="0" w:color="auto"/>
              <w:right w:val="single" w:sz="4" w:space="0" w:color="auto"/>
            </w:tcBorders>
          </w:tcPr>
          <w:p w14:paraId="5B77E226" w14:textId="77777777" w:rsidR="00F24BB4" w:rsidRPr="00913369" w:rsidRDefault="00F24BB4" w:rsidP="008747AD">
            <w:pPr>
              <w:jc w:val="both"/>
              <w:rPr>
                <w:rFonts w:ascii="Times New Roman" w:eastAsia="Calibri" w:hAnsi="Times New Roman" w:cs="Times New Roman"/>
                <w:sz w:val="24"/>
                <w:szCs w:val="24"/>
              </w:rPr>
            </w:pPr>
          </w:p>
        </w:tc>
        <w:tc>
          <w:tcPr>
            <w:tcW w:w="1430" w:type="dxa"/>
            <w:tcBorders>
              <w:top w:val="single" w:sz="4" w:space="0" w:color="auto"/>
              <w:left w:val="single" w:sz="4" w:space="0" w:color="auto"/>
              <w:bottom w:val="single" w:sz="4" w:space="0" w:color="auto"/>
              <w:right w:val="single" w:sz="4" w:space="0" w:color="auto"/>
            </w:tcBorders>
          </w:tcPr>
          <w:p w14:paraId="212BA366" w14:textId="77777777" w:rsidR="00F24BB4" w:rsidRPr="00913369" w:rsidRDefault="00F24BB4" w:rsidP="008747AD">
            <w:pPr>
              <w:jc w:val="both"/>
              <w:rPr>
                <w:rFonts w:ascii="Times New Roman" w:eastAsia="Calibri" w:hAnsi="Times New Roman" w:cs="Times New Roman"/>
                <w:sz w:val="24"/>
                <w:szCs w:val="24"/>
              </w:rPr>
            </w:pPr>
          </w:p>
        </w:tc>
        <w:tc>
          <w:tcPr>
            <w:tcW w:w="1277" w:type="dxa"/>
            <w:tcBorders>
              <w:top w:val="single" w:sz="4" w:space="0" w:color="auto"/>
              <w:left w:val="single" w:sz="4" w:space="0" w:color="auto"/>
              <w:bottom w:val="single" w:sz="4" w:space="0" w:color="auto"/>
              <w:right w:val="single" w:sz="4" w:space="0" w:color="auto"/>
            </w:tcBorders>
          </w:tcPr>
          <w:p w14:paraId="2228407F" w14:textId="77777777" w:rsidR="00F24BB4" w:rsidRPr="00913369" w:rsidRDefault="00F24BB4" w:rsidP="008747AD">
            <w:pPr>
              <w:jc w:val="both"/>
              <w:rPr>
                <w:rFonts w:ascii="Times New Roman" w:eastAsia="Calibri" w:hAnsi="Times New Roman" w:cs="Times New Roman"/>
                <w:sz w:val="24"/>
                <w:szCs w:val="24"/>
              </w:rPr>
            </w:pPr>
          </w:p>
        </w:tc>
        <w:tc>
          <w:tcPr>
            <w:tcW w:w="1829" w:type="dxa"/>
            <w:tcBorders>
              <w:top w:val="single" w:sz="4" w:space="0" w:color="auto"/>
              <w:left w:val="single" w:sz="4" w:space="0" w:color="auto"/>
              <w:bottom w:val="single" w:sz="4" w:space="0" w:color="auto"/>
              <w:right w:val="single" w:sz="4" w:space="0" w:color="auto"/>
            </w:tcBorders>
          </w:tcPr>
          <w:p w14:paraId="7D3F03B4" w14:textId="77777777" w:rsidR="00F24BB4" w:rsidRPr="00913369" w:rsidRDefault="00F24BB4" w:rsidP="008747AD">
            <w:pPr>
              <w:jc w:val="both"/>
              <w:rPr>
                <w:rFonts w:ascii="Times New Roman" w:eastAsia="Calibri" w:hAnsi="Times New Roman" w:cs="Times New Roman"/>
                <w:sz w:val="24"/>
                <w:szCs w:val="24"/>
              </w:rPr>
            </w:pPr>
          </w:p>
        </w:tc>
        <w:tc>
          <w:tcPr>
            <w:tcW w:w="1975" w:type="dxa"/>
            <w:tcBorders>
              <w:top w:val="single" w:sz="4" w:space="0" w:color="auto"/>
              <w:left w:val="single" w:sz="4" w:space="0" w:color="auto"/>
              <w:bottom w:val="single" w:sz="4" w:space="0" w:color="auto"/>
              <w:right w:val="single" w:sz="4" w:space="0" w:color="auto"/>
            </w:tcBorders>
          </w:tcPr>
          <w:p w14:paraId="757DF9BD" w14:textId="77777777" w:rsidR="00F24BB4" w:rsidRPr="00913369" w:rsidRDefault="00F24BB4" w:rsidP="008747AD">
            <w:pPr>
              <w:jc w:val="both"/>
              <w:rPr>
                <w:rFonts w:ascii="Times New Roman" w:eastAsia="Calibri" w:hAnsi="Times New Roman" w:cs="Times New Roman"/>
                <w:sz w:val="24"/>
                <w:szCs w:val="24"/>
              </w:rPr>
            </w:pPr>
          </w:p>
        </w:tc>
      </w:tr>
    </w:tbl>
    <w:p w14:paraId="1F996362" w14:textId="77777777" w:rsidR="00F24BB4" w:rsidRPr="00913369" w:rsidRDefault="00F24BB4" w:rsidP="00F24BB4">
      <w:pPr>
        <w:tabs>
          <w:tab w:val="left" w:pos="708"/>
        </w:tabs>
        <w:ind w:left="360"/>
        <w:jc w:val="both"/>
        <w:rPr>
          <w:rFonts w:ascii="Times New Roman" w:hAnsi="Times New Roman" w:cs="Times New Roman"/>
          <w:sz w:val="24"/>
          <w:szCs w:val="24"/>
        </w:rPr>
      </w:pPr>
    </w:p>
    <w:p w14:paraId="5A867473" w14:textId="77777777" w:rsidR="00F24BB4" w:rsidRPr="00913369" w:rsidRDefault="00F24BB4" w:rsidP="00F24BB4">
      <w:pPr>
        <w:spacing w:after="200" w:line="276" w:lineRule="auto"/>
        <w:rPr>
          <w:rFonts w:ascii="Times New Roman" w:eastAsia="Calibri" w:hAnsi="Times New Roman" w:cs="Times New Roman"/>
          <w:sz w:val="24"/>
          <w:szCs w:val="24"/>
        </w:rPr>
      </w:pPr>
      <w:r w:rsidRPr="00913369">
        <w:rPr>
          <w:rFonts w:ascii="Times New Roman" w:eastAsia="Calibri" w:hAnsi="Times New Roman" w:cs="Times New Roman"/>
          <w:sz w:val="24"/>
          <w:szCs w:val="24"/>
        </w:rPr>
        <w:t>*Mettre en évidence les fonctions exercées dans le domaine des assurances</w:t>
      </w:r>
    </w:p>
    <w:p w14:paraId="732E5569" w14:textId="77777777" w:rsidR="00F24BB4" w:rsidRPr="00913369" w:rsidRDefault="00F24BB4" w:rsidP="00F24BB4">
      <w:pPr>
        <w:tabs>
          <w:tab w:val="left" w:pos="708"/>
        </w:tabs>
        <w:ind w:left="360" w:hanging="360"/>
        <w:jc w:val="both"/>
        <w:rPr>
          <w:rFonts w:ascii="Times New Roman" w:hAnsi="Times New Roman" w:cs="Times New Roman"/>
          <w:sz w:val="24"/>
          <w:szCs w:val="24"/>
        </w:rPr>
      </w:pPr>
    </w:p>
    <w:p w14:paraId="538FA417" w14:textId="77777777" w:rsidR="00F24BB4" w:rsidRPr="00913369" w:rsidRDefault="00F24BB4" w:rsidP="00F24BB4">
      <w:pPr>
        <w:tabs>
          <w:tab w:val="left" w:pos="708"/>
        </w:tabs>
        <w:ind w:left="360" w:hanging="360"/>
        <w:jc w:val="both"/>
        <w:rPr>
          <w:rFonts w:ascii="Times New Roman" w:hAnsi="Times New Roman" w:cs="Times New Roman"/>
          <w:b/>
          <w:i/>
          <w:sz w:val="24"/>
          <w:szCs w:val="24"/>
        </w:rPr>
      </w:pPr>
      <w:r w:rsidRPr="00913369">
        <w:rPr>
          <w:rFonts w:ascii="Times New Roman" w:hAnsi="Times New Roman" w:cs="Times New Roman"/>
          <w:b/>
          <w:i/>
          <w:sz w:val="24"/>
          <w:szCs w:val="24"/>
          <w:u w:val="single"/>
        </w:rPr>
        <w:t>Précisions complémentaires</w:t>
      </w:r>
      <w:r w:rsidRPr="00913369">
        <w:rPr>
          <w:rFonts w:ascii="Times New Roman" w:hAnsi="Times New Roman" w:cs="Times New Roman"/>
          <w:b/>
          <w:i/>
          <w:sz w:val="24"/>
          <w:szCs w:val="24"/>
        </w:rPr>
        <w:t xml:space="preserve"> : </w:t>
      </w:r>
    </w:p>
    <w:p w14:paraId="4896E570" w14:textId="77777777" w:rsidR="00F24BB4" w:rsidRPr="00913369" w:rsidRDefault="00F24BB4" w:rsidP="00F24BB4">
      <w:pPr>
        <w:tabs>
          <w:tab w:val="left" w:pos="708"/>
        </w:tabs>
        <w:ind w:left="360"/>
        <w:jc w:val="both"/>
        <w:rPr>
          <w:rFonts w:ascii="Times New Roman" w:hAnsi="Times New Roman" w:cs="Times New Roman"/>
          <w:sz w:val="24"/>
          <w:szCs w:val="24"/>
        </w:rPr>
      </w:pPr>
    </w:p>
    <w:p w14:paraId="5FECE6C8" w14:textId="77777777" w:rsidR="00F24BB4" w:rsidRPr="00913369" w:rsidRDefault="00F24BB4" w:rsidP="00F24BB4">
      <w:pPr>
        <w:tabs>
          <w:tab w:val="num" w:pos="567"/>
        </w:tabs>
        <w:ind w:left="360" w:hanging="644"/>
        <w:jc w:val="both"/>
        <w:rPr>
          <w:rFonts w:ascii="Times New Roman" w:hAnsi="Times New Roman" w:cs="Times New Roman"/>
          <w:sz w:val="24"/>
          <w:szCs w:val="24"/>
        </w:rPr>
      </w:pPr>
      <w:r w:rsidRPr="00913369">
        <w:rPr>
          <w:rFonts w:ascii="Times New Roman" w:hAnsi="Times New Roman" w:cs="Times New Roman"/>
          <w:b/>
          <w:sz w:val="24"/>
          <w:szCs w:val="24"/>
        </w:rPr>
        <w:t>3.</w:t>
      </w:r>
      <w:r w:rsidRPr="00913369">
        <w:rPr>
          <w:rFonts w:ascii="Times New Roman" w:hAnsi="Times New Roman" w:cs="Times New Roman"/>
          <w:sz w:val="24"/>
          <w:szCs w:val="24"/>
        </w:rPr>
        <w:t xml:space="preserve"> Si le dirigeant n’a pas la qualité de mandataire social : </w:t>
      </w:r>
    </w:p>
    <w:p w14:paraId="1E5E727B" w14:textId="77777777" w:rsidR="00F24BB4" w:rsidRPr="00913369" w:rsidRDefault="00F24BB4" w:rsidP="00F24BB4">
      <w:pPr>
        <w:tabs>
          <w:tab w:val="left" w:pos="708"/>
        </w:tabs>
        <w:ind w:left="502" w:hanging="360"/>
        <w:jc w:val="both"/>
        <w:rPr>
          <w:rFonts w:ascii="Times New Roman" w:hAnsi="Times New Roman" w:cs="Times New Roman"/>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6"/>
        <w:gridCol w:w="5326"/>
      </w:tblGrid>
      <w:tr w:rsidR="00F24BB4" w:rsidRPr="00913369" w14:paraId="3DA086BF" w14:textId="77777777" w:rsidTr="008747AD">
        <w:tc>
          <w:tcPr>
            <w:tcW w:w="3434" w:type="dxa"/>
            <w:tcBorders>
              <w:top w:val="single" w:sz="4" w:space="0" w:color="auto"/>
              <w:left w:val="single" w:sz="4" w:space="0" w:color="auto"/>
              <w:bottom w:val="single" w:sz="4" w:space="0" w:color="auto"/>
              <w:right w:val="single" w:sz="4" w:space="0" w:color="auto"/>
            </w:tcBorders>
            <w:shd w:val="clear" w:color="auto" w:fill="D9D9D9"/>
            <w:hideMark/>
          </w:tcPr>
          <w:p w14:paraId="285A9AC6" w14:textId="77777777" w:rsidR="00F24BB4" w:rsidRPr="00913369" w:rsidRDefault="00F24BB4" w:rsidP="008747AD">
            <w:pPr>
              <w:tabs>
                <w:tab w:val="left" w:pos="708"/>
              </w:tabs>
              <w:rPr>
                <w:rFonts w:ascii="Times New Roman" w:eastAsia="Calibri" w:hAnsi="Times New Roman" w:cs="Times New Roman"/>
                <w:sz w:val="24"/>
                <w:szCs w:val="24"/>
              </w:rPr>
            </w:pPr>
            <w:r w:rsidRPr="00913369">
              <w:rPr>
                <w:rFonts w:ascii="Times New Roman" w:eastAsia="Calibri" w:hAnsi="Times New Roman" w:cs="Times New Roman"/>
                <w:noProof/>
                <w:sz w:val="24"/>
                <w:szCs w:val="24"/>
              </w:rPr>
              <w:t>Quelle est l’étendue des pouvoirs qui vous sont délégués ?</w:t>
            </w:r>
          </w:p>
        </w:tc>
        <w:tc>
          <w:tcPr>
            <w:tcW w:w="5492" w:type="dxa"/>
            <w:tcBorders>
              <w:top w:val="single" w:sz="4" w:space="0" w:color="auto"/>
              <w:left w:val="single" w:sz="4" w:space="0" w:color="auto"/>
              <w:bottom w:val="single" w:sz="4" w:space="0" w:color="auto"/>
              <w:right w:val="single" w:sz="4" w:space="0" w:color="auto"/>
            </w:tcBorders>
          </w:tcPr>
          <w:p w14:paraId="36F05959"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r w:rsidR="00F24BB4" w:rsidRPr="00913369" w14:paraId="0AE0C9B9" w14:textId="77777777" w:rsidTr="008747AD">
        <w:tc>
          <w:tcPr>
            <w:tcW w:w="3434" w:type="dxa"/>
            <w:tcBorders>
              <w:top w:val="single" w:sz="4" w:space="0" w:color="auto"/>
              <w:left w:val="single" w:sz="4" w:space="0" w:color="auto"/>
              <w:bottom w:val="single" w:sz="4" w:space="0" w:color="auto"/>
              <w:right w:val="single" w:sz="4" w:space="0" w:color="auto"/>
            </w:tcBorders>
            <w:shd w:val="clear" w:color="auto" w:fill="D9D9D9"/>
            <w:hideMark/>
          </w:tcPr>
          <w:p w14:paraId="525E17F1" w14:textId="77777777" w:rsidR="00F24BB4" w:rsidRPr="00913369" w:rsidRDefault="00F24BB4" w:rsidP="008747AD">
            <w:pPr>
              <w:tabs>
                <w:tab w:val="left" w:pos="708"/>
              </w:tabs>
              <w:rPr>
                <w:rFonts w:ascii="Times New Roman" w:eastAsia="Calibri" w:hAnsi="Times New Roman" w:cs="Times New Roman"/>
                <w:sz w:val="24"/>
                <w:szCs w:val="24"/>
              </w:rPr>
            </w:pPr>
            <w:r w:rsidRPr="00913369">
              <w:rPr>
                <w:rFonts w:ascii="Times New Roman" w:eastAsia="Calibri" w:hAnsi="Times New Roman" w:cs="Times New Roman"/>
                <w:sz w:val="24"/>
                <w:szCs w:val="24"/>
              </w:rPr>
              <w:t>Quel est leur mode d’attribution ?</w:t>
            </w:r>
          </w:p>
        </w:tc>
        <w:tc>
          <w:tcPr>
            <w:tcW w:w="5492" w:type="dxa"/>
            <w:tcBorders>
              <w:top w:val="single" w:sz="4" w:space="0" w:color="auto"/>
              <w:left w:val="single" w:sz="4" w:space="0" w:color="auto"/>
              <w:bottom w:val="single" w:sz="4" w:space="0" w:color="auto"/>
              <w:right w:val="single" w:sz="4" w:space="0" w:color="auto"/>
            </w:tcBorders>
          </w:tcPr>
          <w:p w14:paraId="7EC9481F"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bl>
    <w:p w14:paraId="6CA76671" w14:textId="77777777" w:rsidR="00F24BB4" w:rsidRPr="00913369" w:rsidRDefault="00F24BB4" w:rsidP="00F24BB4">
      <w:pPr>
        <w:tabs>
          <w:tab w:val="left" w:pos="708"/>
        </w:tabs>
        <w:ind w:left="502" w:hanging="360"/>
        <w:jc w:val="both"/>
        <w:rPr>
          <w:rFonts w:ascii="Times New Roman" w:hAnsi="Times New Roman" w:cs="Times New Roman"/>
          <w:sz w:val="24"/>
          <w:szCs w:val="24"/>
        </w:rPr>
      </w:pPr>
    </w:p>
    <w:p w14:paraId="6D11EBA4" w14:textId="77777777" w:rsidR="00F24BB4" w:rsidRPr="00913369" w:rsidRDefault="00F24BB4" w:rsidP="00F24BB4">
      <w:pPr>
        <w:tabs>
          <w:tab w:val="left" w:pos="708"/>
        </w:tabs>
        <w:ind w:left="502" w:hanging="360"/>
        <w:jc w:val="both"/>
        <w:rPr>
          <w:rFonts w:ascii="Times New Roman" w:hAnsi="Times New Roman" w:cs="Times New Roman"/>
          <w:sz w:val="24"/>
          <w:szCs w:val="24"/>
        </w:rPr>
      </w:pPr>
      <w:r w:rsidRPr="00913369">
        <w:rPr>
          <w:rFonts w:ascii="Times New Roman" w:hAnsi="Times New Roman" w:cs="Times New Roman"/>
          <w:sz w:val="24"/>
          <w:szCs w:val="24"/>
        </w:rPr>
        <w:lastRenderedPageBreak/>
        <w:t>Pour le mandataire général ou le représentant du mandataire général personne morale :</w:t>
      </w:r>
    </w:p>
    <w:p w14:paraId="6389F6AD" w14:textId="77777777" w:rsidR="00F24BB4" w:rsidRPr="00913369" w:rsidRDefault="00F24BB4" w:rsidP="00F24BB4">
      <w:pPr>
        <w:tabs>
          <w:tab w:val="left" w:pos="708"/>
        </w:tabs>
        <w:ind w:left="502" w:hanging="360"/>
        <w:jc w:val="both"/>
        <w:rPr>
          <w:rFonts w:ascii="Times New Roman" w:hAnsi="Times New Roman" w:cs="Times New Roman"/>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0"/>
        <w:gridCol w:w="2992"/>
      </w:tblGrid>
      <w:tr w:rsidR="00F24BB4" w:rsidRPr="00913369" w14:paraId="2229EDF1" w14:textId="77777777" w:rsidTr="008747AD">
        <w:tc>
          <w:tcPr>
            <w:tcW w:w="5844" w:type="dxa"/>
            <w:tcBorders>
              <w:top w:val="single" w:sz="4" w:space="0" w:color="auto"/>
              <w:left w:val="single" w:sz="4" w:space="0" w:color="auto"/>
              <w:bottom w:val="single" w:sz="4" w:space="0" w:color="auto"/>
              <w:right w:val="single" w:sz="4" w:space="0" w:color="auto"/>
            </w:tcBorders>
            <w:shd w:val="clear" w:color="auto" w:fill="D9D9D9"/>
            <w:hideMark/>
          </w:tcPr>
          <w:p w14:paraId="3EC92DAE" w14:textId="77777777" w:rsidR="00F24BB4" w:rsidRPr="00913369" w:rsidRDefault="00F24BB4" w:rsidP="008747AD">
            <w:pPr>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noProof/>
                <w:sz w:val="24"/>
                <w:szCs w:val="24"/>
              </w:rPr>
              <w:t>Quelle est l'étendue des responsabilités qui vous ont été attribuées par l’entreprise</w:t>
            </w:r>
            <w:r w:rsidRPr="00913369">
              <w:rPr>
                <w:rFonts w:ascii="Times New Roman" w:eastAsia="Calibri" w:hAnsi="Times New Roman" w:cs="Times New Roman"/>
                <w:sz w:val="24"/>
                <w:szCs w:val="24"/>
              </w:rPr>
              <w:t xml:space="preserve"> pour laquelle la présente déclaration est faite</w:t>
            </w:r>
            <w:r w:rsidRPr="00913369">
              <w:rPr>
                <w:rFonts w:ascii="Times New Roman" w:eastAsia="Calibri" w:hAnsi="Times New Roman" w:cs="Times New Roman"/>
                <w:noProof/>
                <w:sz w:val="24"/>
                <w:szCs w:val="24"/>
              </w:rPr>
              <w:t xml:space="preserve"> ?</w:t>
            </w:r>
          </w:p>
        </w:tc>
        <w:tc>
          <w:tcPr>
            <w:tcW w:w="3084" w:type="dxa"/>
            <w:tcBorders>
              <w:top w:val="single" w:sz="4" w:space="0" w:color="auto"/>
              <w:left w:val="single" w:sz="4" w:space="0" w:color="auto"/>
              <w:bottom w:val="single" w:sz="4" w:space="0" w:color="auto"/>
              <w:right w:val="single" w:sz="4" w:space="0" w:color="auto"/>
            </w:tcBorders>
          </w:tcPr>
          <w:p w14:paraId="46EA3617"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bl>
    <w:p w14:paraId="3D9A0B5F" w14:textId="77777777" w:rsidR="00F24BB4" w:rsidRPr="00913369" w:rsidRDefault="00F24BB4" w:rsidP="00F24BB4">
      <w:pPr>
        <w:tabs>
          <w:tab w:val="left" w:pos="708"/>
        </w:tabs>
        <w:ind w:left="502" w:hanging="360"/>
        <w:jc w:val="both"/>
        <w:rPr>
          <w:rFonts w:ascii="Times New Roman" w:hAnsi="Times New Roman" w:cs="Times New Roman"/>
          <w:sz w:val="24"/>
          <w:szCs w:val="24"/>
        </w:rPr>
      </w:pPr>
    </w:p>
    <w:p w14:paraId="59B306AA" w14:textId="77777777" w:rsidR="00F24BB4" w:rsidRPr="00913369" w:rsidRDefault="00F24BB4" w:rsidP="00F24BB4">
      <w:pPr>
        <w:tabs>
          <w:tab w:val="num" w:pos="360"/>
        </w:tabs>
        <w:jc w:val="both"/>
        <w:rPr>
          <w:rFonts w:ascii="Times New Roman" w:hAnsi="Times New Roman" w:cs="Times New Roman"/>
          <w:sz w:val="24"/>
          <w:szCs w:val="24"/>
        </w:rPr>
      </w:pPr>
    </w:p>
    <w:p w14:paraId="441388B7" w14:textId="77777777" w:rsidR="00F24BB4" w:rsidRPr="00913369" w:rsidRDefault="00F24BB4" w:rsidP="00F24BB4">
      <w:pPr>
        <w:tabs>
          <w:tab w:val="num" w:pos="360"/>
        </w:tabs>
        <w:ind w:left="-284"/>
        <w:jc w:val="both"/>
        <w:rPr>
          <w:rFonts w:ascii="Times New Roman" w:hAnsi="Times New Roman" w:cs="Times New Roman"/>
          <w:sz w:val="24"/>
          <w:szCs w:val="24"/>
        </w:rPr>
      </w:pPr>
      <w:r w:rsidRPr="00913369">
        <w:rPr>
          <w:rFonts w:ascii="Times New Roman" w:hAnsi="Times New Roman" w:cs="Times New Roman"/>
          <w:b/>
          <w:sz w:val="24"/>
          <w:szCs w:val="24"/>
        </w:rPr>
        <w:t>4.</w:t>
      </w:r>
      <w:r w:rsidRPr="00913369">
        <w:rPr>
          <w:rFonts w:ascii="Times New Roman" w:hAnsi="Times New Roman" w:cs="Times New Roman"/>
          <w:sz w:val="24"/>
          <w:szCs w:val="24"/>
        </w:rPr>
        <w:t xml:space="preserve"> Renseignez le tableau ci-dessous s’il est prévu que vous commenciez ou continuiez à exercer d’autres fonctions de direction ou de membre du conseil quel que soit le type d’entreprise.</w:t>
      </w:r>
    </w:p>
    <w:p w14:paraId="3C70AFF8" w14:textId="77777777" w:rsidR="00F24BB4" w:rsidRPr="00913369" w:rsidRDefault="00F24BB4" w:rsidP="00F24BB4">
      <w:pPr>
        <w:tabs>
          <w:tab w:val="left" w:pos="708"/>
        </w:tabs>
        <w:ind w:left="502"/>
        <w:jc w:val="both"/>
        <w:rPr>
          <w:rFonts w:ascii="Times New Roman" w:hAnsi="Times New Roman" w:cs="Times New Roman"/>
          <w:sz w:val="24"/>
          <w:szCs w:val="24"/>
        </w:rPr>
      </w:pPr>
    </w:p>
    <w:p w14:paraId="4A1B8E9E" w14:textId="77777777" w:rsidR="00F24BB4" w:rsidRPr="00913369" w:rsidRDefault="00F24BB4" w:rsidP="00F24BB4">
      <w:pPr>
        <w:tabs>
          <w:tab w:val="left" w:pos="708"/>
        </w:tabs>
        <w:ind w:left="567"/>
        <w:jc w:val="both"/>
        <w:rPr>
          <w:rFonts w:ascii="Times New Roman" w:hAnsi="Times New Roman" w:cs="Times New Roman"/>
          <w:sz w:val="24"/>
          <w:szCs w:val="24"/>
        </w:rPr>
      </w:pPr>
      <w:r w:rsidRPr="00913369">
        <w:rPr>
          <w:rFonts w:ascii="Times New Roman" w:hAnsi="Times New Roman" w:cs="Times New Roman"/>
          <w:sz w:val="24"/>
          <w:szCs w:val="24"/>
        </w:rPr>
        <w:t xml:space="preserve">Veuillez vérifier que vous respectez les règles relatives au cumul des mandats applicables à l’organisme pour lequel la présente déclaration est faite, et indiquez la répartition de votre temps consacré à chacun de vos mandats. </w:t>
      </w:r>
    </w:p>
    <w:p w14:paraId="1E3B0EDB" w14:textId="77777777" w:rsidR="00F24BB4" w:rsidRPr="00913369" w:rsidRDefault="00F24BB4" w:rsidP="00F24BB4">
      <w:pPr>
        <w:tabs>
          <w:tab w:val="left" w:pos="708"/>
        </w:tabs>
        <w:ind w:left="502" w:hanging="360"/>
        <w:jc w:val="both"/>
        <w:rPr>
          <w:rFonts w:ascii="Times New Roman" w:hAnsi="Times New Roman" w:cs="Times New Roman"/>
          <w:sz w:val="24"/>
          <w:szCs w:val="24"/>
        </w:rPr>
      </w:pPr>
    </w:p>
    <w:p w14:paraId="5AB597A9" w14:textId="77777777" w:rsidR="00F24BB4" w:rsidRPr="00913369" w:rsidRDefault="00F24BB4" w:rsidP="00F24BB4">
      <w:pPr>
        <w:tabs>
          <w:tab w:val="left" w:pos="708"/>
        </w:tabs>
        <w:ind w:left="567"/>
        <w:jc w:val="both"/>
        <w:rPr>
          <w:rFonts w:ascii="Times New Roman" w:hAnsi="Times New Roman" w:cs="Times New Roman"/>
          <w:sz w:val="24"/>
          <w:szCs w:val="24"/>
        </w:rPr>
      </w:pPr>
      <w:r w:rsidRPr="00913369">
        <w:rPr>
          <w:rFonts w:ascii="Times New Roman" w:hAnsi="Times New Roman" w:cs="Times New Roman"/>
          <w:sz w:val="24"/>
          <w:szCs w:val="24"/>
        </w:rPr>
        <w:t>Indiquez les mandats pour lesquels vous pourriez connaître des conflits d’intérêts : dans ce cas, précisez les dispositions que vous comptez prendre pour y remédier, et si des dispositions statutaires de l’organisme pour lequel vous répondez au présent questionnaire vous sont ou vous seraient applicables dans ce domaine.</w:t>
      </w:r>
    </w:p>
    <w:p w14:paraId="03881FC4" w14:textId="77777777" w:rsidR="00F24BB4" w:rsidRPr="00913369" w:rsidRDefault="00F24BB4" w:rsidP="00F24BB4">
      <w:pPr>
        <w:rPr>
          <w:rFonts w:ascii="Times New Roman" w:hAnsi="Times New Roman" w:cs="Times New Roman"/>
          <w:sz w:val="24"/>
          <w:szCs w:val="24"/>
        </w:rPr>
      </w:pPr>
      <w:r w:rsidRPr="00913369">
        <w:rPr>
          <w:rFonts w:ascii="Times New Roman" w:hAnsi="Times New Roman" w:cs="Times New Roman"/>
          <w:sz w:val="24"/>
          <w:szCs w:val="24"/>
        </w:rPr>
        <w:br w:type="page"/>
      </w:r>
    </w:p>
    <w:p w14:paraId="18374EDD" w14:textId="77777777" w:rsidR="00F24BB4" w:rsidRPr="00913369" w:rsidRDefault="00F24BB4" w:rsidP="00F24BB4">
      <w:pPr>
        <w:tabs>
          <w:tab w:val="left" w:pos="708"/>
        </w:tabs>
        <w:ind w:left="502" w:hanging="360"/>
        <w:jc w:val="both"/>
        <w:rPr>
          <w:rFonts w:ascii="Times New Roman" w:hAnsi="Times New Roman" w:cs="Times New Roman"/>
          <w:sz w:val="24"/>
          <w:szCs w:val="24"/>
        </w:rPr>
      </w:pPr>
    </w:p>
    <w:p w14:paraId="1CD931A7" w14:textId="77777777" w:rsidR="00F24BB4" w:rsidRPr="00913369" w:rsidRDefault="00F24BB4" w:rsidP="00F24BB4">
      <w:pPr>
        <w:spacing w:after="200" w:line="276" w:lineRule="auto"/>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Tableau 1 : Mandat(s) </w:t>
      </w:r>
      <w:r w:rsidRPr="00913369">
        <w:rPr>
          <w:rFonts w:ascii="Times New Roman" w:eastAsia="Calibri" w:hAnsi="Times New Roman" w:cs="Times New Roman"/>
          <w:b/>
          <w:sz w:val="24"/>
          <w:szCs w:val="24"/>
        </w:rPr>
        <w:t>au sein</w:t>
      </w:r>
      <w:r w:rsidRPr="00913369">
        <w:rPr>
          <w:rFonts w:ascii="Times New Roman" w:eastAsia="Calibri" w:hAnsi="Times New Roman" w:cs="Times New Roman"/>
          <w:sz w:val="24"/>
          <w:szCs w:val="24"/>
        </w:rPr>
        <w:t xml:space="preserve"> du groupe d’appartenance de l’entreprise pour laquelle la présente déclaration est faite :</w:t>
      </w: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1959"/>
        <w:gridCol w:w="2237"/>
        <w:gridCol w:w="1842"/>
        <w:gridCol w:w="2012"/>
      </w:tblGrid>
      <w:tr w:rsidR="00F24BB4" w:rsidRPr="00913369" w14:paraId="4BDACB60" w14:textId="77777777" w:rsidTr="008747AD">
        <w:trPr>
          <w:trHeight w:val="799"/>
          <w:jc w:val="center"/>
        </w:trPr>
        <w:tc>
          <w:tcPr>
            <w:tcW w:w="1856" w:type="dxa"/>
            <w:tcBorders>
              <w:top w:val="nil"/>
              <w:left w:val="nil"/>
              <w:bottom w:val="single" w:sz="4" w:space="0" w:color="auto"/>
              <w:right w:val="single" w:sz="4" w:space="0" w:color="auto"/>
            </w:tcBorders>
          </w:tcPr>
          <w:p w14:paraId="5352A471" w14:textId="77777777" w:rsidR="00F24BB4" w:rsidRPr="00913369" w:rsidRDefault="00F24BB4" w:rsidP="008747AD">
            <w:pPr>
              <w:jc w:val="center"/>
              <w:rPr>
                <w:rFonts w:ascii="Times New Roman" w:eastAsia="Calibri" w:hAnsi="Times New Roman" w:cs="Times New Roman"/>
                <w:sz w:val="24"/>
                <w:szCs w:val="24"/>
              </w:rPr>
            </w:pPr>
          </w:p>
          <w:p w14:paraId="247B558D" w14:textId="77777777" w:rsidR="00F24BB4" w:rsidRPr="00913369" w:rsidRDefault="00F24BB4" w:rsidP="008747AD">
            <w:pPr>
              <w:jc w:val="both"/>
              <w:rPr>
                <w:rFonts w:ascii="Times New Roman" w:eastAsia="Calibri" w:hAnsi="Times New Roman" w:cs="Times New Roman"/>
                <w:sz w:val="24"/>
                <w:szCs w:val="24"/>
              </w:rPr>
            </w:pPr>
          </w:p>
        </w:tc>
        <w:tc>
          <w:tcPr>
            <w:tcW w:w="19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8DB52D"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Intitulé du poste</w:t>
            </w:r>
          </w:p>
        </w:tc>
        <w:tc>
          <w:tcPr>
            <w:tcW w:w="22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6C469B"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Dénomination sociale</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DD782E"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Forme juridique</w:t>
            </w:r>
          </w:p>
        </w:tc>
        <w:tc>
          <w:tcPr>
            <w:tcW w:w="20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586EAD" w14:textId="77777777" w:rsidR="00F24BB4" w:rsidRPr="00913369" w:rsidRDefault="00F24BB4" w:rsidP="008747AD">
            <w:pPr>
              <w:jc w:val="center"/>
              <w:rPr>
                <w:rFonts w:ascii="Times New Roman" w:eastAsia="Calibri" w:hAnsi="Times New Roman" w:cs="Times New Roman"/>
                <w:sz w:val="24"/>
                <w:szCs w:val="24"/>
              </w:rPr>
            </w:pPr>
          </w:p>
          <w:p w14:paraId="0B9AC741"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Numéro Tahiti (ou numéro d’identification au RCS) </w:t>
            </w:r>
          </w:p>
        </w:tc>
      </w:tr>
      <w:tr w:rsidR="00F24BB4" w:rsidRPr="00913369" w14:paraId="6D8115DE" w14:textId="77777777" w:rsidTr="008747AD">
        <w:trPr>
          <w:jc w:val="center"/>
        </w:trPr>
        <w:tc>
          <w:tcPr>
            <w:tcW w:w="1856" w:type="dxa"/>
            <w:vMerge w:val="restart"/>
            <w:tcBorders>
              <w:top w:val="single" w:sz="4" w:space="0" w:color="auto"/>
              <w:left w:val="single" w:sz="4" w:space="0" w:color="auto"/>
              <w:bottom w:val="single" w:sz="4" w:space="0" w:color="auto"/>
              <w:right w:val="single" w:sz="4" w:space="0" w:color="auto"/>
            </w:tcBorders>
            <w:vAlign w:val="center"/>
            <w:hideMark/>
          </w:tcPr>
          <w:p w14:paraId="23B8F5A6" w14:textId="77777777" w:rsidR="00F24BB4" w:rsidRPr="00913369" w:rsidRDefault="00F24BB4" w:rsidP="008747AD">
            <w:pPr>
              <w:rPr>
                <w:rFonts w:ascii="Times New Roman" w:eastAsia="Calibri" w:hAnsi="Times New Roman" w:cs="Times New Roman"/>
                <w:sz w:val="24"/>
                <w:szCs w:val="24"/>
              </w:rPr>
            </w:pPr>
            <w:r w:rsidRPr="00913369">
              <w:rPr>
                <w:rFonts w:ascii="Times New Roman" w:eastAsia="Calibri" w:hAnsi="Times New Roman" w:cs="Times New Roman"/>
                <w:sz w:val="24"/>
                <w:szCs w:val="24"/>
              </w:rPr>
              <w:t>Entités ayant leur siège en Polynésie française</w:t>
            </w:r>
          </w:p>
        </w:tc>
        <w:tc>
          <w:tcPr>
            <w:tcW w:w="1959" w:type="dxa"/>
            <w:tcBorders>
              <w:top w:val="single" w:sz="4" w:space="0" w:color="auto"/>
              <w:left w:val="single" w:sz="4" w:space="0" w:color="auto"/>
              <w:bottom w:val="single" w:sz="4" w:space="0" w:color="auto"/>
              <w:right w:val="single" w:sz="4" w:space="0" w:color="auto"/>
            </w:tcBorders>
          </w:tcPr>
          <w:p w14:paraId="09B497A2" w14:textId="77777777" w:rsidR="00F24BB4" w:rsidRPr="00913369" w:rsidRDefault="00F24BB4" w:rsidP="008747AD">
            <w:pPr>
              <w:jc w:val="both"/>
              <w:rPr>
                <w:rFonts w:ascii="Times New Roman" w:eastAsia="Calibri" w:hAnsi="Times New Roman" w:cs="Times New Roman"/>
                <w:sz w:val="24"/>
                <w:szCs w:val="24"/>
              </w:rPr>
            </w:pPr>
          </w:p>
        </w:tc>
        <w:tc>
          <w:tcPr>
            <w:tcW w:w="2237" w:type="dxa"/>
            <w:tcBorders>
              <w:top w:val="single" w:sz="4" w:space="0" w:color="auto"/>
              <w:left w:val="single" w:sz="4" w:space="0" w:color="auto"/>
              <w:bottom w:val="single" w:sz="4" w:space="0" w:color="auto"/>
              <w:right w:val="single" w:sz="4" w:space="0" w:color="auto"/>
            </w:tcBorders>
          </w:tcPr>
          <w:p w14:paraId="7029C969" w14:textId="77777777" w:rsidR="00F24BB4" w:rsidRPr="00913369" w:rsidRDefault="00F24BB4" w:rsidP="008747AD">
            <w:pPr>
              <w:jc w:val="both"/>
              <w:rPr>
                <w:rFonts w:ascii="Times New Roman" w:eastAsia="Calibri"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0E20BDC1" w14:textId="77777777" w:rsidR="00F24BB4" w:rsidRPr="00913369" w:rsidRDefault="00F24BB4" w:rsidP="008747AD">
            <w:pPr>
              <w:jc w:val="both"/>
              <w:rPr>
                <w:rFonts w:ascii="Times New Roman" w:eastAsia="Calibri" w:hAnsi="Times New Roman" w:cs="Times New Roman"/>
                <w:sz w:val="24"/>
                <w:szCs w:val="24"/>
              </w:rPr>
            </w:pPr>
          </w:p>
        </w:tc>
        <w:tc>
          <w:tcPr>
            <w:tcW w:w="2012" w:type="dxa"/>
            <w:tcBorders>
              <w:top w:val="single" w:sz="4" w:space="0" w:color="auto"/>
              <w:left w:val="single" w:sz="4" w:space="0" w:color="auto"/>
              <w:bottom w:val="single" w:sz="4" w:space="0" w:color="auto"/>
              <w:right w:val="single" w:sz="4" w:space="0" w:color="auto"/>
            </w:tcBorders>
          </w:tcPr>
          <w:p w14:paraId="191C4B4A" w14:textId="77777777" w:rsidR="00F24BB4" w:rsidRPr="00913369" w:rsidRDefault="00F24BB4" w:rsidP="008747AD">
            <w:pPr>
              <w:jc w:val="both"/>
              <w:rPr>
                <w:rFonts w:ascii="Times New Roman" w:eastAsia="Calibri" w:hAnsi="Times New Roman" w:cs="Times New Roman"/>
                <w:sz w:val="24"/>
                <w:szCs w:val="24"/>
              </w:rPr>
            </w:pPr>
          </w:p>
        </w:tc>
      </w:tr>
      <w:tr w:rsidR="00F24BB4" w:rsidRPr="00913369" w14:paraId="3300C344" w14:textId="77777777" w:rsidTr="008747AD">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30EA80" w14:textId="77777777" w:rsidR="00F24BB4" w:rsidRPr="00913369" w:rsidRDefault="00F24BB4" w:rsidP="008747AD">
            <w:pPr>
              <w:rPr>
                <w:rFonts w:ascii="Times New Roman" w:eastAsia="Calibri" w:hAnsi="Times New Roman" w:cs="Times New Roman"/>
                <w:sz w:val="24"/>
                <w:szCs w:val="24"/>
              </w:rPr>
            </w:pPr>
          </w:p>
        </w:tc>
        <w:tc>
          <w:tcPr>
            <w:tcW w:w="1959" w:type="dxa"/>
            <w:tcBorders>
              <w:top w:val="single" w:sz="4" w:space="0" w:color="auto"/>
              <w:left w:val="single" w:sz="4" w:space="0" w:color="auto"/>
              <w:bottom w:val="single" w:sz="4" w:space="0" w:color="auto"/>
              <w:right w:val="single" w:sz="4" w:space="0" w:color="auto"/>
            </w:tcBorders>
          </w:tcPr>
          <w:p w14:paraId="4BA0E5EC" w14:textId="77777777" w:rsidR="00F24BB4" w:rsidRPr="00913369" w:rsidRDefault="00F24BB4" w:rsidP="008747AD">
            <w:pPr>
              <w:jc w:val="both"/>
              <w:rPr>
                <w:rFonts w:ascii="Times New Roman" w:eastAsia="Calibri" w:hAnsi="Times New Roman" w:cs="Times New Roman"/>
                <w:sz w:val="24"/>
                <w:szCs w:val="24"/>
              </w:rPr>
            </w:pPr>
          </w:p>
        </w:tc>
        <w:tc>
          <w:tcPr>
            <w:tcW w:w="2237" w:type="dxa"/>
            <w:tcBorders>
              <w:top w:val="single" w:sz="4" w:space="0" w:color="auto"/>
              <w:left w:val="single" w:sz="4" w:space="0" w:color="auto"/>
              <w:bottom w:val="single" w:sz="4" w:space="0" w:color="auto"/>
              <w:right w:val="single" w:sz="4" w:space="0" w:color="auto"/>
            </w:tcBorders>
          </w:tcPr>
          <w:p w14:paraId="76A17C20" w14:textId="77777777" w:rsidR="00F24BB4" w:rsidRPr="00913369" w:rsidRDefault="00F24BB4" w:rsidP="008747AD">
            <w:pPr>
              <w:jc w:val="both"/>
              <w:rPr>
                <w:rFonts w:ascii="Times New Roman" w:eastAsia="Calibri"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2C23DF52" w14:textId="77777777" w:rsidR="00F24BB4" w:rsidRPr="00913369" w:rsidRDefault="00F24BB4" w:rsidP="008747AD">
            <w:pPr>
              <w:jc w:val="both"/>
              <w:rPr>
                <w:rFonts w:ascii="Times New Roman" w:eastAsia="Calibri" w:hAnsi="Times New Roman" w:cs="Times New Roman"/>
                <w:sz w:val="24"/>
                <w:szCs w:val="24"/>
              </w:rPr>
            </w:pPr>
          </w:p>
        </w:tc>
        <w:tc>
          <w:tcPr>
            <w:tcW w:w="2012" w:type="dxa"/>
            <w:tcBorders>
              <w:top w:val="single" w:sz="4" w:space="0" w:color="auto"/>
              <w:left w:val="single" w:sz="4" w:space="0" w:color="auto"/>
              <w:bottom w:val="single" w:sz="4" w:space="0" w:color="auto"/>
              <w:right w:val="single" w:sz="4" w:space="0" w:color="auto"/>
            </w:tcBorders>
          </w:tcPr>
          <w:p w14:paraId="773B24D4" w14:textId="77777777" w:rsidR="00F24BB4" w:rsidRPr="00913369" w:rsidRDefault="00F24BB4" w:rsidP="008747AD">
            <w:pPr>
              <w:jc w:val="both"/>
              <w:rPr>
                <w:rFonts w:ascii="Times New Roman" w:eastAsia="Calibri" w:hAnsi="Times New Roman" w:cs="Times New Roman"/>
                <w:sz w:val="24"/>
                <w:szCs w:val="24"/>
              </w:rPr>
            </w:pPr>
          </w:p>
        </w:tc>
      </w:tr>
      <w:tr w:rsidR="00F24BB4" w:rsidRPr="00913369" w14:paraId="71D0C129" w14:textId="77777777" w:rsidTr="008747AD">
        <w:trPr>
          <w:jc w:val="center"/>
        </w:trPr>
        <w:tc>
          <w:tcPr>
            <w:tcW w:w="1856" w:type="dxa"/>
            <w:vMerge w:val="restart"/>
            <w:tcBorders>
              <w:top w:val="single" w:sz="4" w:space="0" w:color="auto"/>
              <w:left w:val="single" w:sz="4" w:space="0" w:color="auto"/>
              <w:bottom w:val="single" w:sz="4" w:space="0" w:color="auto"/>
              <w:right w:val="single" w:sz="4" w:space="0" w:color="auto"/>
            </w:tcBorders>
            <w:vAlign w:val="center"/>
            <w:hideMark/>
          </w:tcPr>
          <w:p w14:paraId="3F4FD10F" w14:textId="77777777" w:rsidR="00F24BB4" w:rsidRPr="00913369" w:rsidRDefault="00F24BB4" w:rsidP="008747AD">
            <w:pPr>
              <w:rPr>
                <w:rFonts w:ascii="Times New Roman" w:eastAsia="Calibri" w:hAnsi="Times New Roman" w:cs="Times New Roman"/>
                <w:sz w:val="24"/>
                <w:szCs w:val="24"/>
              </w:rPr>
            </w:pPr>
            <w:r w:rsidRPr="00913369">
              <w:rPr>
                <w:rFonts w:ascii="Times New Roman" w:eastAsia="Calibri" w:hAnsi="Times New Roman" w:cs="Times New Roman"/>
                <w:sz w:val="24"/>
                <w:szCs w:val="24"/>
              </w:rPr>
              <w:t>Entités ayant leur siège hors de Polynésie française</w:t>
            </w:r>
          </w:p>
        </w:tc>
        <w:tc>
          <w:tcPr>
            <w:tcW w:w="1959" w:type="dxa"/>
            <w:tcBorders>
              <w:top w:val="single" w:sz="4" w:space="0" w:color="auto"/>
              <w:left w:val="single" w:sz="4" w:space="0" w:color="auto"/>
              <w:bottom w:val="single" w:sz="4" w:space="0" w:color="auto"/>
              <w:right w:val="single" w:sz="4" w:space="0" w:color="auto"/>
            </w:tcBorders>
          </w:tcPr>
          <w:p w14:paraId="7413FF9E" w14:textId="77777777" w:rsidR="00F24BB4" w:rsidRPr="00913369" w:rsidRDefault="00F24BB4" w:rsidP="008747AD">
            <w:pPr>
              <w:jc w:val="both"/>
              <w:rPr>
                <w:rFonts w:ascii="Times New Roman" w:eastAsia="Calibri" w:hAnsi="Times New Roman" w:cs="Times New Roman"/>
                <w:sz w:val="24"/>
                <w:szCs w:val="24"/>
              </w:rPr>
            </w:pPr>
          </w:p>
        </w:tc>
        <w:tc>
          <w:tcPr>
            <w:tcW w:w="2237" w:type="dxa"/>
            <w:tcBorders>
              <w:top w:val="single" w:sz="4" w:space="0" w:color="auto"/>
              <w:left w:val="single" w:sz="4" w:space="0" w:color="auto"/>
              <w:bottom w:val="single" w:sz="4" w:space="0" w:color="auto"/>
              <w:right w:val="single" w:sz="4" w:space="0" w:color="auto"/>
            </w:tcBorders>
          </w:tcPr>
          <w:p w14:paraId="3E424211" w14:textId="77777777" w:rsidR="00F24BB4" w:rsidRPr="00913369" w:rsidRDefault="00F24BB4" w:rsidP="008747AD">
            <w:pPr>
              <w:jc w:val="both"/>
              <w:rPr>
                <w:rFonts w:ascii="Times New Roman" w:eastAsia="Calibri"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0EED4EC9" w14:textId="77777777" w:rsidR="00F24BB4" w:rsidRPr="00913369" w:rsidRDefault="00F24BB4" w:rsidP="008747AD">
            <w:pPr>
              <w:jc w:val="both"/>
              <w:rPr>
                <w:rFonts w:ascii="Times New Roman" w:eastAsia="Calibri" w:hAnsi="Times New Roman" w:cs="Times New Roman"/>
                <w:sz w:val="24"/>
                <w:szCs w:val="24"/>
              </w:rPr>
            </w:pPr>
          </w:p>
        </w:tc>
        <w:tc>
          <w:tcPr>
            <w:tcW w:w="2012" w:type="dxa"/>
            <w:tcBorders>
              <w:top w:val="single" w:sz="4" w:space="0" w:color="auto"/>
              <w:left w:val="single" w:sz="4" w:space="0" w:color="auto"/>
              <w:bottom w:val="single" w:sz="4" w:space="0" w:color="auto"/>
              <w:right w:val="single" w:sz="4" w:space="0" w:color="auto"/>
            </w:tcBorders>
          </w:tcPr>
          <w:p w14:paraId="40F428DF" w14:textId="77777777" w:rsidR="00F24BB4" w:rsidRPr="00913369" w:rsidRDefault="00F24BB4" w:rsidP="008747AD">
            <w:pPr>
              <w:jc w:val="both"/>
              <w:rPr>
                <w:rFonts w:ascii="Times New Roman" w:eastAsia="Calibri" w:hAnsi="Times New Roman" w:cs="Times New Roman"/>
                <w:sz w:val="24"/>
                <w:szCs w:val="24"/>
              </w:rPr>
            </w:pPr>
          </w:p>
        </w:tc>
      </w:tr>
      <w:tr w:rsidR="00F24BB4" w:rsidRPr="00913369" w14:paraId="24D31062" w14:textId="77777777" w:rsidTr="008747AD">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8F2D0A" w14:textId="77777777" w:rsidR="00F24BB4" w:rsidRPr="00913369" w:rsidRDefault="00F24BB4" w:rsidP="008747AD">
            <w:pPr>
              <w:rPr>
                <w:rFonts w:ascii="Times New Roman" w:eastAsia="Calibri" w:hAnsi="Times New Roman" w:cs="Times New Roman"/>
                <w:sz w:val="24"/>
                <w:szCs w:val="24"/>
              </w:rPr>
            </w:pPr>
          </w:p>
        </w:tc>
        <w:tc>
          <w:tcPr>
            <w:tcW w:w="1959" w:type="dxa"/>
            <w:tcBorders>
              <w:top w:val="single" w:sz="4" w:space="0" w:color="auto"/>
              <w:left w:val="single" w:sz="4" w:space="0" w:color="auto"/>
              <w:bottom w:val="single" w:sz="4" w:space="0" w:color="auto"/>
              <w:right w:val="single" w:sz="4" w:space="0" w:color="auto"/>
            </w:tcBorders>
          </w:tcPr>
          <w:p w14:paraId="3FBFCF3F" w14:textId="77777777" w:rsidR="00F24BB4" w:rsidRPr="00913369" w:rsidRDefault="00F24BB4" w:rsidP="008747AD">
            <w:pPr>
              <w:jc w:val="both"/>
              <w:rPr>
                <w:rFonts w:ascii="Times New Roman" w:eastAsia="Calibri" w:hAnsi="Times New Roman" w:cs="Times New Roman"/>
                <w:sz w:val="24"/>
                <w:szCs w:val="24"/>
              </w:rPr>
            </w:pPr>
          </w:p>
        </w:tc>
        <w:tc>
          <w:tcPr>
            <w:tcW w:w="2237" w:type="dxa"/>
            <w:tcBorders>
              <w:top w:val="single" w:sz="4" w:space="0" w:color="auto"/>
              <w:left w:val="single" w:sz="4" w:space="0" w:color="auto"/>
              <w:bottom w:val="single" w:sz="4" w:space="0" w:color="auto"/>
              <w:right w:val="single" w:sz="4" w:space="0" w:color="auto"/>
            </w:tcBorders>
          </w:tcPr>
          <w:p w14:paraId="3C7E6C0B" w14:textId="77777777" w:rsidR="00F24BB4" w:rsidRPr="00913369" w:rsidRDefault="00F24BB4" w:rsidP="008747AD">
            <w:pPr>
              <w:jc w:val="both"/>
              <w:rPr>
                <w:rFonts w:ascii="Times New Roman" w:eastAsia="Calibri"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5903B8C3" w14:textId="77777777" w:rsidR="00F24BB4" w:rsidRPr="00913369" w:rsidRDefault="00F24BB4" w:rsidP="008747AD">
            <w:pPr>
              <w:jc w:val="both"/>
              <w:rPr>
                <w:rFonts w:ascii="Times New Roman" w:eastAsia="Calibri" w:hAnsi="Times New Roman" w:cs="Times New Roman"/>
                <w:sz w:val="24"/>
                <w:szCs w:val="24"/>
              </w:rPr>
            </w:pPr>
          </w:p>
        </w:tc>
        <w:tc>
          <w:tcPr>
            <w:tcW w:w="2012" w:type="dxa"/>
            <w:tcBorders>
              <w:top w:val="single" w:sz="4" w:space="0" w:color="auto"/>
              <w:left w:val="single" w:sz="4" w:space="0" w:color="auto"/>
              <w:bottom w:val="single" w:sz="4" w:space="0" w:color="auto"/>
              <w:right w:val="single" w:sz="4" w:space="0" w:color="auto"/>
            </w:tcBorders>
          </w:tcPr>
          <w:p w14:paraId="7ED3F7B6" w14:textId="77777777" w:rsidR="00F24BB4" w:rsidRPr="00913369" w:rsidRDefault="00F24BB4" w:rsidP="008747AD">
            <w:pPr>
              <w:jc w:val="both"/>
              <w:rPr>
                <w:rFonts w:ascii="Times New Roman" w:eastAsia="Calibri" w:hAnsi="Times New Roman" w:cs="Times New Roman"/>
                <w:sz w:val="24"/>
                <w:szCs w:val="24"/>
              </w:rPr>
            </w:pPr>
          </w:p>
        </w:tc>
      </w:tr>
    </w:tbl>
    <w:p w14:paraId="50283E77" w14:textId="77777777" w:rsidR="00F24BB4" w:rsidRPr="00913369" w:rsidRDefault="00F24BB4" w:rsidP="00F24BB4">
      <w:pPr>
        <w:spacing w:after="200" w:line="276" w:lineRule="auto"/>
        <w:rPr>
          <w:rFonts w:ascii="Times New Roman" w:eastAsia="Calibri" w:hAnsi="Times New Roman" w:cs="Times New Roman"/>
          <w:sz w:val="24"/>
          <w:szCs w:val="24"/>
        </w:rPr>
      </w:pPr>
    </w:p>
    <w:p w14:paraId="32F14448" w14:textId="77777777" w:rsidR="00F24BB4" w:rsidRPr="00913369" w:rsidRDefault="00F24BB4" w:rsidP="00F24BB4">
      <w:pPr>
        <w:spacing w:after="200" w:line="276" w:lineRule="auto"/>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Tableau 2 : Mandat(s) </w:t>
      </w:r>
      <w:r w:rsidRPr="00913369">
        <w:rPr>
          <w:rFonts w:ascii="Times New Roman" w:eastAsia="Calibri" w:hAnsi="Times New Roman" w:cs="Times New Roman"/>
          <w:b/>
          <w:sz w:val="24"/>
          <w:szCs w:val="24"/>
        </w:rPr>
        <w:t>à l’extérieur</w:t>
      </w:r>
      <w:r w:rsidRPr="00913369">
        <w:rPr>
          <w:rFonts w:ascii="Times New Roman" w:eastAsia="Calibri" w:hAnsi="Times New Roman" w:cs="Times New Roman"/>
          <w:sz w:val="24"/>
          <w:szCs w:val="24"/>
        </w:rPr>
        <w:t xml:space="preserve"> du groupe d’appartenance de l’entreprise pour laquelle la présente déclaration est faite :</w:t>
      </w: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1959"/>
        <w:gridCol w:w="2237"/>
        <w:gridCol w:w="1842"/>
        <w:gridCol w:w="2012"/>
      </w:tblGrid>
      <w:tr w:rsidR="00F24BB4" w:rsidRPr="00913369" w14:paraId="2453F61A" w14:textId="77777777" w:rsidTr="008747AD">
        <w:trPr>
          <w:trHeight w:val="799"/>
          <w:jc w:val="center"/>
        </w:trPr>
        <w:tc>
          <w:tcPr>
            <w:tcW w:w="1856" w:type="dxa"/>
            <w:tcBorders>
              <w:top w:val="nil"/>
              <w:left w:val="nil"/>
              <w:bottom w:val="single" w:sz="4" w:space="0" w:color="auto"/>
              <w:right w:val="single" w:sz="4" w:space="0" w:color="auto"/>
            </w:tcBorders>
          </w:tcPr>
          <w:p w14:paraId="6CD54AF5" w14:textId="77777777" w:rsidR="00F24BB4" w:rsidRPr="00913369" w:rsidRDefault="00F24BB4" w:rsidP="008747AD">
            <w:pPr>
              <w:jc w:val="center"/>
              <w:rPr>
                <w:rFonts w:ascii="Times New Roman" w:eastAsia="Calibri" w:hAnsi="Times New Roman" w:cs="Times New Roman"/>
                <w:sz w:val="24"/>
                <w:szCs w:val="24"/>
              </w:rPr>
            </w:pPr>
          </w:p>
        </w:tc>
        <w:tc>
          <w:tcPr>
            <w:tcW w:w="19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A979D0"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Intitulé du poste</w:t>
            </w:r>
          </w:p>
        </w:tc>
        <w:tc>
          <w:tcPr>
            <w:tcW w:w="22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B2EE1C"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Dénomination sociale</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65A84C"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Forme juridique</w:t>
            </w:r>
          </w:p>
        </w:tc>
        <w:tc>
          <w:tcPr>
            <w:tcW w:w="20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F65CD4" w14:textId="77777777" w:rsidR="00F24BB4" w:rsidRPr="00913369" w:rsidRDefault="00F24BB4" w:rsidP="008747AD">
            <w:pPr>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 Numéro Tahiti (ou numéro d’identification au RCS)</w:t>
            </w:r>
          </w:p>
        </w:tc>
      </w:tr>
      <w:tr w:rsidR="00F24BB4" w:rsidRPr="00913369" w14:paraId="697386BC" w14:textId="77777777" w:rsidTr="008747AD">
        <w:trPr>
          <w:jc w:val="center"/>
        </w:trPr>
        <w:tc>
          <w:tcPr>
            <w:tcW w:w="1856" w:type="dxa"/>
            <w:vMerge w:val="restart"/>
            <w:tcBorders>
              <w:top w:val="single" w:sz="4" w:space="0" w:color="auto"/>
              <w:left w:val="single" w:sz="4" w:space="0" w:color="auto"/>
              <w:bottom w:val="single" w:sz="4" w:space="0" w:color="auto"/>
              <w:right w:val="single" w:sz="4" w:space="0" w:color="auto"/>
            </w:tcBorders>
            <w:vAlign w:val="center"/>
            <w:hideMark/>
          </w:tcPr>
          <w:p w14:paraId="4415090E" w14:textId="77777777" w:rsidR="00F24BB4" w:rsidRPr="00913369" w:rsidRDefault="00F24BB4" w:rsidP="008747AD">
            <w:pPr>
              <w:rPr>
                <w:rFonts w:ascii="Times New Roman" w:eastAsia="Calibri" w:hAnsi="Times New Roman" w:cs="Times New Roman"/>
                <w:sz w:val="24"/>
                <w:szCs w:val="24"/>
              </w:rPr>
            </w:pPr>
            <w:r w:rsidRPr="00913369">
              <w:rPr>
                <w:rFonts w:ascii="Times New Roman" w:eastAsia="Calibri" w:hAnsi="Times New Roman" w:cs="Times New Roman"/>
                <w:sz w:val="24"/>
                <w:szCs w:val="24"/>
              </w:rPr>
              <w:t>Entités ayant leur siège en Polynésie française</w:t>
            </w:r>
          </w:p>
        </w:tc>
        <w:tc>
          <w:tcPr>
            <w:tcW w:w="1959" w:type="dxa"/>
            <w:tcBorders>
              <w:top w:val="single" w:sz="4" w:space="0" w:color="auto"/>
              <w:left w:val="single" w:sz="4" w:space="0" w:color="auto"/>
              <w:bottom w:val="single" w:sz="4" w:space="0" w:color="auto"/>
              <w:right w:val="single" w:sz="4" w:space="0" w:color="auto"/>
            </w:tcBorders>
          </w:tcPr>
          <w:p w14:paraId="76092E1B" w14:textId="77777777" w:rsidR="00F24BB4" w:rsidRPr="00913369" w:rsidRDefault="00F24BB4" w:rsidP="008747AD">
            <w:pPr>
              <w:jc w:val="both"/>
              <w:rPr>
                <w:rFonts w:ascii="Times New Roman" w:eastAsia="Calibri" w:hAnsi="Times New Roman" w:cs="Times New Roman"/>
                <w:sz w:val="24"/>
                <w:szCs w:val="24"/>
              </w:rPr>
            </w:pPr>
          </w:p>
        </w:tc>
        <w:tc>
          <w:tcPr>
            <w:tcW w:w="2237" w:type="dxa"/>
            <w:tcBorders>
              <w:top w:val="single" w:sz="4" w:space="0" w:color="auto"/>
              <w:left w:val="single" w:sz="4" w:space="0" w:color="auto"/>
              <w:bottom w:val="single" w:sz="4" w:space="0" w:color="auto"/>
              <w:right w:val="single" w:sz="4" w:space="0" w:color="auto"/>
            </w:tcBorders>
          </w:tcPr>
          <w:p w14:paraId="593AC1B6" w14:textId="77777777" w:rsidR="00F24BB4" w:rsidRPr="00913369" w:rsidRDefault="00F24BB4" w:rsidP="008747AD">
            <w:pPr>
              <w:jc w:val="both"/>
              <w:rPr>
                <w:rFonts w:ascii="Times New Roman" w:eastAsia="Calibri"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3E263F5B" w14:textId="77777777" w:rsidR="00F24BB4" w:rsidRPr="00913369" w:rsidRDefault="00F24BB4" w:rsidP="008747AD">
            <w:pPr>
              <w:jc w:val="both"/>
              <w:rPr>
                <w:rFonts w:ascii="Times New Roman" w:eastAsia="Calibri" w:hAnsi="Times New Roman" w:cs="Times New Roman"/>
                <w:sz w:val="24"/>
                <w:szCs w:val="24"/>
              </w:rPr>
            </w:pPr>
          </w:p>
        </w:tc>
        <w:tc>
          <w:tcPr>
            <w:tcW w:w="2012" w:type="dxa"/>
            <w:tcBorders>
              <w:top w:val="single" w:sz="4" w:space="0" w:color="auto"/>
              <w:left w:val="single" w:sz="4" w:space="0" w:color="auto"/>
              <w:bottom w:val="single" w:sz="4" w:space="0" w:color="auto"/>
              <w:right w:val="single" w:sz="4" w:space="0" w:color="auto"/>
            </w:tcBorders>
          </w:tcPr>
          <w:p w14:paraId="5C595089" w14:textId="77777777" w:rsidR="00F24BB4" w:rsidRPr="00913369" w:rsidRDefault="00F24BB4" w:rsidP="008747AD">
            <w:pPr>
              <w:jc w:val="both"/>
              <w:rPr>
                <w:rFonts w:ascii="Times New Roman" w:eastAsia="Calibri" w:hAnsi="Times New Roman" w:cs="Times New Roman"/>
                <w:sz w:val="24"/>
                <w:szCs w:val="24"/>
              </w:rPr>
            </w:pPr>
          </w:p>
        </w:tc>
      </w:tr>
      <w:tr w:rsidR="00F24BB4" w:rsidRPr="00913369" w14:paraId="2F4F8C0A" w14:textId="77777777" w:rsidTr="008747AD">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04DAE1" w14:textId="77777777" w:rsidR="00F24BB4" w:rsidRPr="00913369" w:rsidRDefault="00F24BB4" w:rsidP="008747AD">
            <w:pPr>
              <w:rPr>
                <w:rFonts w:ascii="Times New Roman" w:eastAsia="Calibri" w:hAnsi="Times New Roman" w:cs="Times New Roman"/>
                <w:sz w:val="24"/>
                <w:szCs w:val="24"/>
              </w:rPr>
            </w:pPr>
          </w:p>
        </w:tc>
        <w:tc>
          <w:tcPr>
            <w:tcW w:w="1959" w:type="dxa"/>
            <w:tcBorders>
              <w:top w:val="single" w:sz="4" w:space="0" w:color="auto"/>
              <w:left w:val="single" w:sz="4" w:space="0" w:color="auto"/>
              <w:bottom w:val="single" w:sz="4" w:space="0" w:color="auto"/>
              <w:right w:val="single" w:sz="4" w:space="0" w:color="auto"/>
            </w:tcBorders>
          </w:tcPr>
          <w:p w14:paraId="254D9187" w14:textId="77777777" w:rsidR="00F24BB4" w:rsidRPr="00913369" w:rsidRDefault="00F24BB4" w:rsidP="008747AD">
            <w:pPr>
              <w:jc w:val="both"/>
              <w:rPr>
                <w:rFonts w:ascii="Times New Roman" w:eastAsia="Calibri" w:hAnsi="Times New Roman" w:cs="Times New Roman"/>
                <w:sz w:val="24"/>
                <w:szCs w:val="24"/>
              </w:rPr>
            </w:pPr>
          </w:p>
        </w:tc>
        <w:tc>
          <w:tcPr>
            <w:tcW w:w="2237" w:type="dxa"/>
            <w:tcBorders>
              <w:top w:val="single" w:sz="4" w:space="0" w:color="auto"/>
              <w:left w:val="single" w:sz="4" w:space="0" w:color="auto"/>
              <w:bottom w:val="single" w:sz="4" w:space="0" w:color="auto"/>
              <w:right w:val="single" w:sz="4" w:space="0" w:color="auto"/>
            </w:tcBorders>
          </w:tcPr>
          <w:p w14:paraId="2BD4ACD4" w14:textId="77777777" w:rsidR="00F24BB4" w:rsidRPr="00913369" w:rsidRDefault="00F24BB4" w:rsidP="008747AD">
            <w:pPr>
              <w:jc w:val="both"/>
              <w:rPr>
                <w:rFonts w:ascii="Times New Roman" w:eastAsia="Calibri"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18F7111E" w14:textId="77777777" w:rsidR="00F24BB4" w:rsidRPr="00913369" w:rsidRDefault="00F24BB4" w:rsidP="008747AD">
            <w:pPr>
              <w:jc w:val="both"/>
              <w:rPr>
                <w:rFonts w:ascii="Times New Roman" w:eastAsia="Calibri" w:hAnsi="Times New Roman" w:cs="Times New Roman"/>
                <w:sz w:val="24"/>
                <w:szCs w:val="24"/>
              </w:rPr>
            </w:pPr>
          </w:p>
        </w:tc>
        <w:tc>
          <w:tcPr>
            <w:tcW w:w="2012" w:type="dxa"/>
            <w:tcBorders>
              <w:top w:val="single" w:sz="4" w:space="0" w:color="auto"/>
              <w:left w:val="single" w:sz="4" w:space="0" w:color="auto"/>
              <w:bottom w:val="single" w:sz="4" w:space="0" w:color="auto"/>
              <w:right w:val="single" w:sz="4" w:space="0" w:color="auto"/>
            </w:tcBorders>
          </w:tcPr>
          <w:p w14:paraId="5958660B" w14:textId="77777777" w:rsidR="00F24BB4" w:rsidRPr="00913369" w:rsidRDefault="00F24BB4" w:rsidP="008747AD">
            <w:pPr>
              <w:jc w:val="both"/>
              <w:rPr>
                <w:rFonts w:ascii="Times New Roman" w:eastAsia="Calibri" w:hAnsi="Times New Roman" w:cs="Times New Roman"/>
                <w:sz w:val="24"/>
                <w:szCs w:val="24"/>
              </w:rPr>
            </w:pPr>
          </w:p>
        </w:tc>
      </w:tr>
      <w:tr w:rsidR="00F24BB4" w:rsidRPr="00913369" w14:paraId="1C11BE71" w14:textId="77777777" w:rsidTr="008747AD">
        <w:trPr>
          <w:jc w:val="center"/>
        </w:trPr>
        <w:tc>
          <w:tcPr>
            <w:tcW w:w="1856" w:type="dxa"/>
            <w:vMerge w:val="restart"/>
            <w:tcBorders>
              <w:top w:val="single" w:sz="4" w:space="0" w:color="auto"/>
              <w:left w:val="single" w:sz="4" w:space="0" w:color="auto"/>
              <w:bottom w:val="single" w:sz="4" w:space="0" w:color="auto"/>
              <w:right w:val="single" w:sz="4" w:space="0" w:color="auto"/>
            </w:tcBorders>
            <w:vAlign w:val="center"/>
            <w:hideMark/>
          </w:tcPr>
          <w:p w14:paraId="19BC1F85" w14:textId="77777777" w:rsidR="00F24BB4" w:rsidRPr="00913369" w:rsidRDefault="00F24BB4" w:rsidP="008747AD">
            <w:pPr>
              <w:rPr>
                <w:rFonts w:ascii="Times New Roman" w:eastAsia="Calibri" w:hAnsi="Times New Roman" w:cs="Times New Roman"/>
                <w:sz w:val="24"/>
                <w:szCs w:val="24"/>
              </w:rPr>
            </w:pPr>
            <w:r w:rsidRPr="00913369">
              <w:rPr>
                <w:rFonts w:ascii="Times New Roman" w:eastAsia="Calibri" w:hAnsi="Times New Roman" w:cs="Times New Roman"/>
                <w:sz w:val="24"/>
                <w:szCs w:val="24"/>
              </w:rPr>
              <w:t>Entités ayant leur siège hors de Polynésie française</w:t>
            </w:r>
          </w:p>
        </w:tc>
        <w:tc>
          <w:tcPr>
            <w:tcW w:w="1959" w:type="dxa"/>
            <w:tcBorders>
              <w:top w:val="single" w:sz="4" w:space="0" w:color="auto"/>
              <w:left w:val="single" w:sz="4" w:space="0" w:color="auto"/>
              <w:bottom w:val="single" w:sz="4" w:space="0" w:color="auto"/>
              <w:right w:val="single" w:sz="4" w:space="0" w:color="auto"/>
            </w:tcBorders>
          </w:tcPr>
          <w:p w14:paraId="6111FA85" w14:textId="77777777" w:rsidR="00F24BB4" w:rsidRPr="00913369" w:rsidRDefault="00F24BB4" w:rsidP="008747AD">
            <w:pPr>
              <w:jc w:val="both"/>
              <w:rPr>
                <w:rFonts w:ascii="Times New Roman" w:eastAsia="Calibri" w:hAnsi="Times New Roman" w:cs="Times New Roman"/>
                <w:sz w:val="24"/>
                <w:szCs w:val="24"/>
              </w:rPr>
            </w:pPr>
          </w:p>
        </w:tc>
        <w:tc>
          <w:tcPr>
            <w:tcW w:w="2237" w:type="dxa"/>
            <w:tcBorders>
              <w:top w:val="single" w:sz="4" w:space="0" w:color="auto"/>
              <w:left w:val="single" w:sz="4" w:space="0" w:color="auto"/>
              <w:bottom w:val="single" w:sz="4" w:space="0" w:color="auto"/>
              <w:right w:val="single" w:sz="4" w:space="0" w:color="auto"/>
            </w:tcBorders>
          </w:tcPr>
          <w:p w14:paraId="09C4ABEB" w14:textId="77777777" w:rsidR="00F24BB4" w:rsidRPr="00913369" w:rsidRDefault="00F24BB4" w:rsidP="008747AD">
            <w:pPr>
              <w:jc w:val="both"/>
              <w:rPr>
                <w:rFonts w:ascii="Times New Roman" w:eastAsia="Calibri"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5904038D" w14:textId="77777777" w:rsidR="00F24BB4" w:rsidRPr="00913369" w:rsidRDefault="00F24BB4" w:rsidP="008747AD">
            <w:pPr>
              <w:jc w:val="both"/>
              <w:rPr>
                <w:rFonts w:ascii="Times New Roman" w:eastAsia="Calibri" w:hAnsi="Times New Roman" w:cs="Times New Roman"/>
                <w:sz w:val="24"/>
                <w:szCs w:val="24"/>
              </w:rPr>
            </w:pPr>
          </w:p>
        </w:tc>
        <w:tc>
          <w:tcPr>
            <w:tcW w:w="2012" w:type="dxa"/>
            <w:tcBorders>
              <w:top w:val="single" w:sz="4" w:space="0" w:color="auto"/>
              <w:left w:val="single" w:sz="4" w:space="0" w:color="auto"/>
              <w:bottom w:val="single" w:sz="4" w:space="0" w:color="auto"/>
              <w:right w:val="single" w:sz="4" w:space="0" w:color="auto"/>
            </w:tcBorders>
          </w:tcPr>
          <w:p w14:paraId="0A09265F" w14:textId="77777777" w:rsidR="00F24BB4" w:rsidRPr="00913369" w:rsidRDefault="00F24BB4" w:rsidP="008747AD">
            <w:pPr>
              <w:jc w:val="both"/>
              <w:rPr>
                <w:rFonts w:ascii="Times New Roman" w:eastAsia="Calibri" w:hAnsi="Times New Roman" w:cs="Times New Roman"/>
                <w:sz w:val="24"/>
                <w:szCs w:val="24"/>
              </w:rPr>
            </w:pPr>
          </w:p>
        </w:tc>
      </w:tr>
      <w:tr w:rsidR="00F24BB4" w:rsidRPr="00913369" w14:paraId="0A25F716" w14:textId="77777777" w:rsidTr="008747AD">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C3A3CE" w14:textId="77777777" w:rsidR="00F24BB4" w:rsidRPr="00913369" w:rsidRDefault="00F24BB4" w:rsidP="008747AD">
            <w:pPr>
              <w:rPr>
                <w:rFonts w:ascii="Times New Roman" w:eastAsia="Calibri" w:hAnsi="Times New Roman" w:cs="Times New Roman"/>
                <w:sz w:val="24"/>
                <w:szCs w:val="24"/>
              </w:rPr>
            </w:pPr>
          </w:p>
        </w:tc>
        <w:tc>
          <w:tcPr>
            <w:tcW w:w="1959" w:type="dxa"/>
            <w:tcBorders>
              <w:top w:val="single" w:sz="4" w:space="0" w:color="auto"/>
              <w:left w:val="single" w:sz="4" w:space="0" w:color="auto"/>
              <w:bottom w:val="single" w:sz="4" w:space="0" w:color="auto"/>
              <w:right w:val="single" w:sz="4" w:space="0" w:color="auto"/>
            </w:tcBorders>
          </w:tcPr>
          <w:p w14:paraId="3F6FFCDD" w14:textId="77777777" w:rsidR="00F24BB4" w:rsidRPr="00913369" w:rsidRDefault="00F24BB4" w:rsidP="008747AD">
            <w:pPr>
              <w:jc w:val="both"/>
              <w:rPr>
                <w:rFonts w:ascii="Times New Roman" w:eastAsia="Calibri" w:hAnsi="Times New Roman" w:cs="Times New Roman"/>
                <w:sz w:val="24"/>
                <w:szCs w:val="24"/>
              </w:rPr>
            </w:pPr>
          </w:p>
        </w:tc>
        <w:tc>
          <w:tcPr>
            <w:tcW w:w="2237" w:type="dxa"/>
            <w:tcBorders>
              <w:top w:val="single" w:sz="4" w:space="0" w:color="auto"/>
              <w:left w:val="single" w:sz="4" w:space="0" w:color="auto"/>
              <w:bottom w:val="single" w:sz="4" w:space="0" w:color="auto"/>
              <w:right w:val="single" w:sz="4" w:space="0" w:color="auto"/>
            </w:tcBorders>
          </w:tcPr>
          <w:p w14:paraId="46447AD5" w14:textId="77777777" w:rsidR="00F24BB4" w:rsidRPr="00913369" w:rsidRDefault="00F24BB4" w:rsidP="008747AD">
            <w:pPr>
              <w:jc w:val="both"/>
              <w:rPr>
                <w:rFonts w:ascii="Times New Roman" w:eastAsia="Calibri"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4C292155" w14:textId="77777777" w:rsidR="00F24BB4" w:rsidRPr="00913369" w:rsidRDefault="00F24BB4" w:rsidP="008747AD">
            <w:pPr>
              <w:jc w:val="both"/>
              <w:rPr>
                <w:rFonts w:ascii="Times New Roman" w:eastAsia="Calibri" w:hAnsi="Times New Roman" w:cs="Times New Roman"/>
                <w:sz w:val="24"/>
                <w:szCs w:val="24"/>
              </w:rPr>
            </w:pPr>
          </w:p>
        </w:tc>
        <w:tc>
          <w:tcPr>
            <w:tcW w:w="2012" w:type="dxa"/>
            <w:tcBorders>
              <w:top w:val="single" w:sz="4" w:space="0" w:color="auto"/>
              <w:left w:val="single" w:sz="4" w:space="0" w:color="auto"/>
              <w:bottom w:val="single" w:sz="4" w:space="0" w:color="auto"/>
              <w:right w:val="single" w:sz="4" w:space="0" w:color="auto"/>
            </w:tcBorders>
          </w:tcPr>
          <w:p w14:paraId="60F09F8E" w14:textId="77777777" w:rsidR="00F24BB4" w:rsidRPr="00913369" w:rsidRDefault="00F24BB4" w:rsidP="008747AD">
            <w:pPr>
              <w:jc w:val="both"/>
              <w:rPr>
                <w:rFonts w:ascii="Times New Roman" w:eastAsia="Calibri" w:hAnsi="Times New Roman" w:cs="Times New Roman"/>
                <w:sz w:val="24"/>
                <w:szCs w:val="24"/>
              </w:rPr>
            </w:pPr>
          </w:p>
        </w:tc>
      </w:tr>
    </w:tbl>
    <w:p w14:paraId="6D84BB11" w14:textId="77777777" w:rsidR="00F24BB4" w:rsidRPr="00913369" w:rsidRDefault="00F24BB4" w:rsidP="00F24BB4">
      <w:pPr>
        <w:spacing w:after="200" w:line="276" w:lineRule="auto"/>
        <w:rPr>
          <w:rFonts w:ascii="Times New Roman" w:eastAsia="Calibri" w:hAnsi="Times New Roman" w:cs="Times New Roman"/>
          <w:sz w:val="24"/>
          <w:szCs w:val="24"/>
          <w:u w:val="single"/>
        </w:rPr>
      </w:pPr>
    </w:p>
    <w:p w14:paraId="18095E3C" w14:textId="77777777" w:rsidR="00F24BB4" w:rsidRPr="00913369" w:rsidRDefault="00F24BB4" w:rsidP="00F24BB4">
      <w:pPr>
        <w:spacing w:after="200" w:line="276" w:lineRule="auto"/>
        <w:rPr>
          <w:rFonts w:ascii="Times New Roman" w:eastAsia="Calibri" w:hAnsi="Times New Roman" w:cs="Times New Roman"/>
          <w:sz w:val="24"/>
          <w:szCs w:val="24"/>
        </w:rPr>
      </w:pPr>
      <w:r w:rsidRPr="00913369">
        <w:rPr>
          <w:rFonts w:ascii="Times New Roman" w:eastAsia="Calibri" w:hAnsi="Times New Roman" w:cs="Times New Roman"/>
          <w:sz w:val="24"/>
          <w:szCs w:val="24"/>
          <w:u w:val="single"/>
        </w:rPr>
        <w:t>Précisions complémentaires</w:t>
      </w:r>
      <w:r w:rsidRPr="00913369">
        <w:rPr>
          <w:rFonts w:ascii="Times New Roman" w:eastAsia="Calibri" w:hAnsi="Times New Roman" w:cs="Times New Roman"/>
          <w:sz w:val="24"/>
          <w:szCs w:val="24"/>
        </w:rPr>
        <w:t> :</w:t>
      </w:r>
    </w:p>
    <w:p w14:paraId="3A70DC5E" w14:textId="77777777" w:rsidR="00F24BB4" w:rsidRPr="00913369" w:rsidRDefault="00F24BB4" w:rsidP="00F24BB4">
      <w:pPr>
        <w:spacing w:after="200" w:line="276" w:lineRule="auto"/>
        <w:ind w:left="-426"/>
        <w:rPr>
          <w:rFonts w:ascii="Times New Roman" w:eastAsia="Calibri" w:hAnsi="Times New Roman" w:cs="Times New Roman"/>
          <w:sz w:val="24"/>
          <w:szCs w:val="24"/>
        </w:rPr>
      </w:pPr>
      <w:r w:rsidRPr="00913369">
        <w:rPr>
          <w:rFonts w:ascii="Times New Roman" w:hAnsi="Times New Roman" w:cs="Times New Roman"/>
          <w:b/>
          <w:sz w:val="24"/>
          <w:szCs w:val="24"/>
        </w:rPr>
        <w:t>5.</w:t>
      </w:r>
      <w:r w:rsidRPr="00913369">
        <w:rPr>
          <w:rFonts w:ascii="Times New Roman" w:hAnsi="Times New Roman" w:cs="Times New Roman"/>
          <w:sz w:val="24"/>
          <w:szCs w:val="24"/>
        </w:rPr>
        <w:t xml:space="preserve"> Si vous avez détenu au cours des dix dernières années au moins 20 % du capital ou des droits de vote d’une entreprise, été un associé en nom ou un associé commandité d'une autre entreprise, précisez :</w:t>
      </w:r>
    </w:p>
    <w:p w14:paraId="16C2E14F" w14:textId="77777777" w:rsidR="00F24BB4" w:rsidRPr="00913369" w:rsidRDefault="00F24BB4" w:rsidP="00F24BB4">
      <w:pPr>
        <w:tabs>
          <w:tab w:val="left" w:pos="708"/>
        </w:tabs>
        <w:ind w:left="502"/>
        <w:jc w:val="both"/>
        <w:rPr>
          <w:rFonts w:ascii="Times New Roman" w:hAnsi="Times New Roman" w:cs="Times New Roman"/>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1557"/>
        <w:gridCol w:w="2409"/>
        <w:gridCol w:w="1299"/>
        <w:gridCol w:w="2640"/>
      </w:tblGrid>
      <w:tr w:rsidR="00F24BB4" w:rsidRPr="00913369" w14:paraId="40CA5EEB" w14:textId="77777777" w:rsidTr="008747AD">
        <w:tc>
          <w:tcPr>
            <w:tcW w:w="2019" w:type="dxa"/>
            <w:tcBorders>
              <w:top w:val="single" w:sz="4" w:space="0" w:color="auto"/>
              <w:left w:val="single" w:sz="4" w:space="0" w:color="auto"/>
              <w:bottom w:val="single" w:sz="4" w:space="0" w:color="auto"/>
              <w:right w:val="single" w:sz="4" w:space="0" w:color="auto"/>
            </w:tcBorders>
            <w:shd w:val="clear" w:color="auto" w:fill="D9D9D9"/>
            <w:hideMark/>
          </w:tcPr>
          <w:p w14:paraId="4D4A6166" w14:textId="77777777" w:rsidR="00F24BB4" w:rsidRPr="00913369" w:rsidRDefault="00F24BB4" w:rsidP="008747AD">
            <w:pPr>
              <w:tabs>
                <w:tab w:val="left" w:pos="708"/>
              </w:tabs>
              <w:jc w:val="center"/>
              <w:rPr>
                <w:rFonts w:ascii="Times New Roman" w:eastAsia="Calibri" w:hAnsi="Times New Roman" w:cs="Times New Roman"/>
                <w:sz w:val="24"/>
                <w:szCs w:val="24"/>
              </w:rPr>
            </w:pPr>
            <w:r w:rsidRPr="00913369">
              <w:rPr>
                <w:rFonts w:ascii="Times New Roman" w:eastAsia="Calibri" w:hAnsi="Times New Roman" w:cs="Times New Roman"/>
                <w:noProof/>
                <w:sz w:val="24"/>
                <w:szCs w:val="24"/>
              </w:rPr>
              <w:lastRenderedPageBreak/>
              <w:t>Nom de ces entreprises</w:t>
            </w:r>
          </w:p>
        </w:tc>
        <w:tc>
          <w:tcPr>
            <w:tcW w:w="1557" w:type="dxa"/>
            <w:tcBorders>
              <w:top w:val="single" w:sz="4" w:space="0" w:color="auto"/>
              <w:left w:val="single" w:sz="4" w:space="0" w:color="auto"/>
              <w:bottom w:val="single" w:sz="4" w:space="0" w:color="auto"/>
              <w:right w:val="single" w:sz="4" w:space="0" w:color="auto"/>
            </w:tcBorders>
            <w:hideMark/>
          </w:tcPr>
          <w:p w14:paraId="39876DC2" w14:textId="77777777" w:rsidR="00F24BB4" w:rsidRPr="00913369" w:rsidRDefault="00F24BB4" w:rsidP="008747AD">
            <w:pPr>
              <w:tabs>
                <w:tab w:val="left" w:pos="708"/>
              </w:tabs>
              <w:jc w:val="center"/>
              <w:rPr>
                <w:rFonts w:ascii="Times New Roman" w:eastAsia="Calibri" w:hAnsi="Times New Roman" w:cs="Times New Roman"/>
                <w:sz w:val="24"/>
                <w:szCs w:val="24"/>
              </w:rPr>
            </w:pPr>
            <w:r w:rsidRPr="00913369">
              <w:rPr>
                <w:rFonts w:ascii="Times New Roman" w:eastAsia="Calibri" w:hAnsi="Times New Roman" w:cs="Times New Roman"/>
                <w:noProof/>
                <w:sz w:val="24"/>
                <w:szCs w:val="24"/>
              </w:rPr>
              <w:t>Activité de ces entreprises</w:t>
            </w:r>
          </w:p>
        </w:tc>
        <w:tc>
          <w:tcPr>
            <w:tcW w:w="2409" w:type="dxa"/>
            <w:tcBorders>
              <w:top w:val="single" w:sz="4" w:space="0" w:color="auto"/>
              <w:left w:val="single" w:sz="4" w:space="0" w:color="auto"/>
              <w:bottom w:val="single" w:sz="4" w:space="0" w:color="auto"/>
              <w:right w:val="single" w:sz="4" w:space="0" w:color="auto"/>
            </w:tcBorders>
            <w:hideMark/>
          </w:tcPr>
          <w:p w14:paraId="1B8A6DF1" w14:textId="6A480912" w:rsidR="00F24BB4" w:rsidRPr="00913369" w:rsidRDefault="00F24BB4" w:rsidP="008747AD">
            <w:pPr>
              <w:tabs>
                <w:tab w:val="left" w:pos="708"/>
              </w:tabs>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Niveau de participation (en pourcentage du capital et en droits de vote)</w:t>
            </w:r>
          </w:p>
        </w:tc>
        <w:tc>
          <w:tcPr>
            <w:tcW w:w="1299" w:type="dxa"/>
            <w:tcBorders>
              <w:top w:val="single" w:sz="4" w:space="0" w:color="auto"/>
              <w:left w:val="single" w:sz="4" w:space="0" w:color="auto"/>
              <w:bottom w:val="single" w:sz="4" w:space="0" w:color="auto"/>
              <w:right w:val="single" w:sz="4" w:space="0" w:color="auto"/>
            </w:tcBorders>
            <w:hideMark/>
          </w:tcPr>
          <w:p w14:paraId="28A86E73" w14:textId="77777777" w:rsidR="00F24BB4" w:rsidRPr="00913369" w:rsidRDefault="00F24BB4" w:rsidP="008747AD">
            <w:pPr>
              <w:tabs>
                <w:tab w:val="left" w:pos="708"/>
              </w:tabs>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Période concernée</w:t>
            </w:r>
          </w:p>
        </w:tc>
        <w:tc>
          <w:tcPr>
            <w:tcW w:w="2640" w:type="dxa"/>
            <w:tcBorders>
              <w:top w:val="single" w:sz="4" w:space="0" w:color="auto"/>
              <w:left w:val="single" w:sz="4" w:space="0" w:color="auto"/>
              <w:bottom w:val="single" w:sz="4" w:space="0" w:color="auto"/>
              <w:right w:val="single" w:sz="4" w:space="0" w:color="auto"/>
            </w:tcBorders>
            <w:hideMark/>
          </w:tcPr>
          <w:p w14:paraId="60A1F895" w14:textId="77777777" w:rsidR="00F24BB4" w:rsidRPr="00913369" w:rsidRDefault="00F24BB4" w:rsidP="008747AD">
            <w:pPr>
              <w:tabs>
                <w:tab w:val="left" w:pos="708"/>
              </w:tabs>
              <w:jc w:val="center"/>
              <w:rPr>
                <w:rFonts w:ascii="Times New Roman" w:eastAsia="Calibri" w:hAnsi="Times New Roman" w:cs="Times New Roman"/>
                <w:sz w:val="24"/>
                <w:szCs w:val="24"/>
              </w:rPr>
            </w:pPr>
            <w:r w:rsidRPr="00913369">
              <w:rPr>
                <w:rFonts w:ascii="Times New Roman" w:eastAsia="Calibri" w:hAnsi="Times New Roman" w:cs="Times New Roman"/>
                <w:sz w:val="24"/>
                <w:szCs w:val="24"/>
              </w:rPr>
              <w:t>Lien entre ces entreprises et l’organisme qui dépose le dossier</w:t>
            </w:r>
          </w:p>
        </w:tc>
      </w:tr>
      <w:tr w:rsidR="00F24BB4" w:rsidRPr="00913369" w14:paraId="6C4350E6" w14:textId="77777777" w:rsidTr="008747AD">
        <w:tc>
          <w:tcPr>
            <w:tcW w:w="2019" w:type="dxa"/>
            <w:tcBorders>
              <w:top w:val="single" w:sz="4" w:space="0" w:color="auto"/>
              <w:left w:val="single" w:sz="4" w:space="0" w:color="auto"/>
              <w:bottom w:val="single" w:sz="4" w:space="0" w:color="auto"/>
              <w:right w:val="single" w:sz="4" w:space="0" w:color="auto"/>
            </w:tcBorders>
            <w:shd w:val="clear" w:color="auto" w:fill="D9D9D9"/>
          </w:tcPr>
          <w:p w14:paraId="2EA841B4" w14:textId="77777777" w:rsidR="00F24BB4" w:rsidRPr="00913369" w:rsidRDefault="00F24BB4" w:rsidP="008747AD">
            <w:pPr>
              <w:tabs>
                <w:tab w:val="left" w:pos="708"/>
              </w:tabs>
              <w:rPr>
                <w:rFonts w:ascii="Times New Roman" w:eastAsia="Calibri" w:hAnsi="Times New Roman" w:cs="Times New Roman"/>
                <w:sz w:val="24"/>
                <w:szCs w:val="24"/>
              </w:rPr>
            </w:pPr>
          </w:p>
        </w:tc>
        <w:tc>
          <w:tcPr>
            <w:tcW w:w="1557" w:type="dxa"/>
            <w:tcBorders>
              <w:top w:val="single" w:sz="4" w:space="0" w:color="auto"/>
              <w:left w:val="single" w:sz="4" w:space="0" w:color="auto"/>
              <w:bottom w:val="single" w:sz="4" w:space="0" w:color="auto"/>
              <w:right w:val="single" w:sz="4" w:space="0" w:color="auto"/>
            </w:tcBorders>
          </w:tcPr>
          <w:p w14:paraId="07ED5230" w14:textId="77777777" w:rsidR="00F24BB4" w:rsidRPr="00913369" w:rsidRDefault="00F24BB4" w:rsidP="008747AD">
            <w:pPr>
              <w:tabs>
                <w:tab w:val="left" w:pos="708"/>
              </w:tabs>
              <w:jc w:val="both"/>
              <w:rPr>
                <w:rFonts w:ascii="Times New Roman" w:eastAsia="Calibri"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14:paraId="3676ACF7" w14:textId="77777777" w:rsidR="00F24BB4" w:rsidRPr="00913369" w:rsidRDefault="00F24BB4" w:rsidP="008747AD">
            <w:pPr>
              <w:tabs>
                <w:tab w:val="left" w:pos="708"/>
              </w:tabs>
              <w:jc w:val="both"/>
              <w:rPr>
                <w:rFonts w:ascii="Times New Roman" w:eastAsia="Calibri" w:hAnsi="Times New Roman" w:cs="Times New Roman"/>
                <w:sz w:val="24"/>
                <w:szCs w:val="24"/>
              </w:rPr>
            </w:pPr>
          </w:p>
        </w:tc>
        <w:tc>
          <w:tcPr>
            <w:tcW w:w="1299" w:type="dxa"/>
            <w:tcBorders>
              <w:top w:val="single" w:sz="4" w:space="0" w:color="auto"/>
              <w:left w:val="single" w:sz="4" w:space="0" w:color="auto"/>
              <w:bottom w:val="single" w:sz="4" w:space="0" w:color="auto"/>
              <w:right w:val="single" w:sz="4" w:space="0" w:color="auto"/>
            </w:tcBorders>
          </w:tcPr>
          <w:p w14:paraId="01D65C0C" w14:textId="77777777" w:rsidR="00F24BB4" w:rsidRPr="00913369" w:rsidRDefault="00F24BB4" w:rsidP="008747AD">
            <w:pPr>
              <w:tabs>
                <w:tab w:val="left" w:pos="708"/>
              </w:tabs>
              <w:jc w:val="both"/>
              <w:rPr>
                <w:rFonts w:ascii="Times New Roman" w:eastAsia="Calibri" w:hAnsi="Times New Roman" w:cs="Times New Roman"/>
                <w:sz w:val="24"/>
                <w:szCs w:val="24"/>
              </w:rPr>
            </w:pPr>
          </w:p>
        </w:tc>
        <w:tc>
          <w:tcPr>
            <w:tcW w:w="2640" w:type="dxa"/>
            <w:tcBorders>
              <w:top w:val="single" w:sz="4" w:space="0" w:color="auto"/>
              <w:left w:val="single" w:sz="4" w:space="0" w:color="auto"/>
              <w:bottom w:val="single" w:sz="4" w:space="0" w:color="auto"/>
              <w:right w:val="single" w:sz="4" w:space="0" w:color="auto"/>
            </w:tcBorders>
          </w:tcPr>
          <w:p w14:paraId="1795E372"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r w:rsidR="00F24BB4" w:rsidRPr="00913369" w14:paraId="3D168084" w14:textId="77777777" w:rsidTr="008747AD">
        <w:tc>
          <w:tcPr>
            <w:tcW w:w="2019" w:type="dxa"/>
            <w:tcBorders>
              <w:top w:val="single" w:sz="4" w:space="0" w:color="auto"/>
              <w:left w:val="single" w:sz="4" w:space="0" w:color="auto"/>
              <w:bottom w:val="single" w:sz="4" w:space="0" w:color="auto"/>
              <w:right w:val="single" w:sz="4" w:space="0" w:color="auto"/>
            </w:tcBorders>
            <w:shd w:val="clear" w:color="auto" w:fill="D9D9D9"/>
          </w:tcPr>
          <w:p w14:paraId="6D837925" w14:textId="77777777" w:rsidR="00F24BB4" w:rsidRPr="00913369" w:rsidRDefault="00F24BB4" w:rsidP="008747AD">
            <w:pPr>
              <w:tabs>
                <w:tab w:val="left" w:pos="708"/>
              </w:tabs>
              <w:rPr>
                <w:rFonts w:ascii="Times New Roman" w:eastAsia="Calibri" w:hAnsi="Times New Roman" w:cs="Times New Roman"/>
                <w:sz w:val="24"/>
                <w:szCs w:val="24"/>
              </w:rPr>
            </w:pPr>
          </w:p>
        </w:tc>
        <w:tc>
          <w:tcPr>
            <w:tcW w:w="1557" w:type="dxa"/>
            <w:tcBorders>
              <w:top w:val="single" w:sz="4" w:space="0" w:color="auto"/>
              <w:left w:val="single" w:sz="4" w:space="0" w:color="auto"/>
              <w:bottom w:val="single" w:sz="4" w:space="0" w:color="auto"/>
              <w:right w:val="single" w:sz="4" w:space="0" w:color="auto"/>
            </w:tcBorders>
          </w:tcPr>
          <w:p w14:paraId="67CB685D" w14:textId="77777777" w:rsidR="00F24BB4" w:rsidRPr="00913369" w:rsidRDefault="00F24BB4" w:rsidP="008747AD">
            <w:pPr>
              <w:tabs>
                <w:tab w:val="left" w:pos="708"/>
              </w:tabs>
              <w:jc w:val="both"/>
              <w:rPr>
                <w:rFonts w:ascii="Times New Roman" w:eastAsia="Calibri"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14:paraId="016FB598" w14:textId="77777777" w:rsidR="00F24BB4" w:rsidRPr="00913369" w:rsidRDefault="00F24BB4" w:rsidP="008747AD">
            <w:pPr>
              <w:tabs>
                <w:tab w:val="left" w:pos="708"/>
              </w:tabs>
              <w:jc w:val="both"/>
              <w:rPr>
                <w:rFonts w:ascii="Times New Roman" w:eastAsia="Calibri" w:hAnsi="Times New Roman" w:cs="Times New Roman"/>
                <w:sz w:val="24"/>
                <w:szCs w:val="24"/>
              </w:rPr>
            </w:pPr>
          </w:p>
        </w:tc>
        <w:tc>
          <w:tcPr>
            <w:tcW w:w="1299" w:type="dxa"/>
            <w:tcBorders>
              <w:top w:val="single" w:sz="4" w:space="0" w:color="auto"/>
              <w:left w:val="single" w:sz="4" w:space="0" w:color="auto"/>
              <w:bottom w:val="single" w:sz="4" w:space="0" w:color="auto"/>
              <w:right w:val="single" w:sz="4" w:space="0" w:color="auto"/>
            </w:tcBorders>
          </w:tcPr>
          <w:p w14:paraId="35963AB9" w14:textId="77777777" w:rsidR="00F24BB4" w:rsidRPr="00913369" w:rsidRDefault="00F24BB4" w:rsidP="008747AD">
            <w:pPr>
              <w:tabs>
                <w:tab w:val="left" w:pos="708"/>
              </w:tabs>
              <w:jc w:val="both"/>
              <w:rPr>
                <w:rFonts w:ascii="Times New Roman" w:eastAsia="Calibri" w:hAnsi="Times New Roman" w:cs="Times New Roman"/>
                <w:sz w:val="24"/>
                <w:szCs w:val="24"/>
              </w:rPr>
            </w:pPr>
          </w:p>
        </w:tc>
        <w:tc>
          <w:tcPr>
            <w:tcW w:w="2640" w:type="dxa"/>
            <w:tcBorders>
              <w:top w:val="single" w:sz="4" w:space="0" w:color="auto"/>
              <w:left w:val="single" w:sz="4" w:space="0" w:color="auto"/>
              <w:bottom w:val="single" w:sz="4" w:space="0" w:color="auto"/>
              <w:right w:val="single" w:sz="4" w:space="0" w:color="auto"/>
            </w:tcBorders>
          </w:tcPr>
          <w:p w14:paraId="5F578F04"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bl>
    <w:p w14:paraId="234D2FA8" w14:textId="77777777" w:rsidR="00F24BB4" w:rsidRPr="00913369" w:rsidRDefault="00F24BB4" w:rsidP="00F24BB4">
      <w:pPr>
        <w:tabs>
          <w:tab w:val="num" w:pos="360"/>
        </w:tabs>
        <w:jc w:val="both"/>
        <w:rPr>
          <w:rFonts w:ascii="Times New Roman" w:eastAsia="Calibri" w:hAnsi="Times New Roman" w:cs="Times New Roman"/>
          <w:sz w:val="24"/>
          <w:szCs w:val="24"/>
        </w:rPr>
      </w:pPr>
    </w:p>
    <w:p w14:paraId="632A027E" w14:textId="77777777" w:rsidR="00F24BB4" w:rsidRPr="00913369" w:rsidRDefault="00F24BB4" w:rsidP="00F24BB4">
      <w:pPr>
        <w:rPr>
          <w:rFonts w:ascii="Times New Roman" w:eastAsia="Calibri" w:hAnsi="Times New Roman" w:cs="Times New Roman"/>
          <w:sz w:val="24"/>
          <w:szCs w:val="24"/>
        </w:rPr>
      </w:pPr>
      <w:r w:rsidRPr="00913369">
        <w:rPr>
          <w:rFonts w:ascii="Times New Roman" w:eastAsia="Calibri" w:hAnsi="Times New Roman" w:cs="Times New Roman"/>
          <w:sz w:val="24"/>
          <w:szCs w:val="24"/>
        </w:rPr>
        <w:br w:type="page"/>
      </w:r>
    </w:p>
    <w:p w14:paraId="5DAE7A08" w14:textId="77777777" w:rsidR="00F24BB4" w:rsidRPr="00913369" w:rsidRDefault="00F24BB4" w:rsidP="00F24BB4">
      <w:pPr>
        <w:tabs>
          <w:tab w:val="num" w:pos="360"/>
        </w:tabs>
        <w:jc w:val="both"/>
        <w:rPr>
          <w:rFonts w:ascii="Times New Roman" w:eastAsia="Calibri" w:hAnsi="Times New Roman" w:cs="Times New Roman"/>
          <w:sz w:val="24"/>
          <w:szCs w:val="24"/>
        </w:rPr>
      </w:pPr>
    </w:p>
    <w:p w14:paraId="098C7215" w14:textId="77777777" w:rsidR="00F24BB4" w:rsidRPr="00913369" w:rsidRDefault="00F24BB4" w:rsidP="00F24BB4">
      <w:pPr>
        <w:tabs>
          <w:tab w:val="num" w:pos="-142"/>
        </w:tabs>
        <w:ind w:left="-426"/>
        <w:jc w:val="both"/>
        <w:rPr>
          <w:rFonts w:ascii="Times New Roman" w:hAnsi="Times New Roman" w:cs="Times New Roman"/>
          <w:sz w:val="24"/>
          <w:szCs w:val="24"/>
        </w:rPr>
      </w:pPr>
      <w:r w:rsidRPr="00913369">
        <w:rPr>
          <w:rFonts w:ascii="Times New Roman" w:hAnsi="Times New Roman" w:cs="Times New Roman"/>
          <w:b/>
          <w:sz w:val="24"/>
          <w:szCs w:val="24"/>
        </w:rPr>
        <w:t>6.</w:t>
      </w:r>
      <w:r w:rsidRPr="00913369">
        <w:rPr>
          <w:rFonts w:ascii="Times New Roman" w:hAnsi="Times New Roman" w:cs="Times New Roman"/>
          <w:sz w:val="24"/>
          <w:szCs w:val="24"/>
        </w:rPr>
        <w:t xml:space="preserve"> Engagements pris en </w:t>
      </w:r>
      <w:bookmarkStart w:id="31" w:name="_Hlk207370803"/>
      <w:r w:rsidRPr="00913369">
        <w:rPr>
          <w:rFonts w:ascii="Times New Roman" w:hAnsi="Times New Roman" w:cs="Times New Roman"/>
          <w:sz w:val="24"/>
          <w:szCs w:val="24"/>
        </w:rPr>
        <w:t xml:space="preserve">Polynésie française </w:t>
      </w:r>
      <w:bookmarkEnd w:id="31"/>
      <w:r w:rsidRPr="00913369">
        <w:rPr>
          <w:rFonts w:ascii="Times New Roman" w:hAnsi="Times New Roman" w:cs="Times New Roman"/>
          <w:sz w:val="24"/>
          <w:szCs w:val="24"/>
        </w:rPr>
        <w:t>ou en dehors au titre des fonctions précédemment exercées en Polynésie française ou en dehors :</w:t>
      </w:r>
    </w:p>
    <w:p w14:paraId="6C0135B1" w14:textId="77777777" w:rsidR="00F24BB4" w:rsidRPr="00913369" w:rsidRDefault="00F24BB4" w:rsidP="00F24BB4">
      <w:pPr>
        <w:tabs>
          <w:tab w:val="left" w:pos="708"/>
        </w:tabs>
        <w:jc w:val="both"/>
        <w:rPr>
          <w:rFonts w:ascii="Times New Roman" w:hAnsi="Times New Roman" w:cs="Times New Roman"/>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7"/>
        <w:gridCol w:w="5357"/>
      </w:tblGrid>
      <w:tr w:rsidR="00F24BB4" w:rsidRPr="00913369" w14:paraId="33886EB4" w14:textId="77777777" w:rsidTr="008747AD">
        <w:tc>
          <w:tcPr>
            <w:tcW w:w="4567" w:type="dxa"/>
            <w:tcBorders>
              <w:top w:val="single" w:sz="4" w:space="0" w:color="auto"/>
              <w:left w:val="single" w:sz="4" w:space="0" w:color="auto"/>
              <w:bottom w:val="single" w:sz="4" w:space="0" w:color="auto"/>
              <w:right w:val="single" w:sz="4" w:space="0" w:color="auto"/>
            </w:tcBorders>
            <w:shd w:val="clear" w:color="auto" w:fill="D9D9D9"/>
            <w:hideMark/>
          </w:tcPr>
          <w:p w14:paraId="0575ABA2" w14:textId="77777777" w:rsidR="00F24BB4" w:rsidRPr="00913369" w:rsidRDefault="00F24BB4" w:rsidP="008747AD">
            <w:pPr>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Êtes-vous lié par certains engagements à ce titre (clause de non concurrence, par exemple) ?</w:t>
            </w:r>
          </w:p>
        </w:tc>
        <w:tc>
          <w:tcPr>
            <w:tcW w:w="5357" w:type="dxa"/>
            <w:tcBorders>
              <w:top w:val="single" w:sz="4" w:space="0" w:color="auto"/>
              <w:left w:val="single" w:sz="4" w:space="0" w:color="auto"/>
              <w:bottom w:val="single" w:sz="4" w:space="0" w:color="auto"/>
              <w:right w:val="single" w:sz="4" w:space="0" w:color="auto"/>
            </w:tcBorders>
          </w:tcPr>
          <w:p w14:paraId="0E4621B9"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bl>
    <w:p w14:paraId="140BC796" w14:textId="77777777" w:rsidR="00F24BB4" w:rsidRPr="00913369" w:rsidRDefault="00F24BB4" w:rsidP="00F24BB4">
      <w:pPr>
        <w:spacing w:after="240" w:line="276" w:lineRule="auto"/>
        <w:rPr>
          <w:rFonts w:ascii="Times New Roman" w:eastAsia="Calibri" w:hAnsi="Times New Roman" w:cs="Times New Roman"/>
          <w:i/>
          <w:iCs/>
          <w:sz w:val="24"/>
          <w:szCs w:val="24"/>
        </w:rPr>
      </w:pPr>
    </w:p>
    <w:p w14:paraId="22F470F4" w14:textId="77777777" w:rsidR="00F24BB4" w:rsidRPr="00913369" w:rsidRDefault="00F24BB4" w:rsidP="00F24BB4">
      <w:pPr>
        <w:tabs>
          <w:tab w:val="left" w:pos="708"/>
        </w:tabs>
        <w:spacing w:after="240" w:line="276" w:lineRule="auto"/>
        <w:jc w:val="both"/>
        <w:rPr>
          <w:rFonts w:ascii="Times New Roman" w:hAnsi="Times New Roman" w:cs="Times New Roman"/>
          <w:i/>
          <w:iCs/>
          <w:sz w:val="24"/>
          <w:szCs w:val="24"/>
        </w:rPr>
      </w:pPr>
      <w:r w:rsidRPr="00913369">
        <w:rPr>
          <w:rFonts w:ascii="Times New Roman" w:hAnsi="Times New Roman" w:cs="Times New Roman"/>
          <w:b/>
          <w:iCs/>
          <w:sz w:val="24"/>
          <w:szCs w:val="24"/>
        </w:rPr>
        <w:t>7.</w:t>
      </w:r>
      <w:r w:rsidRPr="00913369">
        <w:rPr>
          <w:rFonts w:ascii="Times New Roman" w:hAnsi="Times New Roman" w:cs="Times New Roman"/>
          <w:iCs/>
          <w:sz w:val="24"/>
          <w:szCs w:val="24"/>
        </w:rPr>
        <w:t xml:space="preserve"> Avez-vous, directement ou indirectement par l’intermédiaire de proches</w:t>
      </w:r>
      <w:r w:rsidRPr="00913369">
        <w:rPr>
          <w:rFonts w:ascii="Times New Roman" w:hAnsi="Times New Roman" w:cs="Times New Roman"/>
          <w:iCs/>
          <w:position w:val="6"/>
          <w:sz w:val="24"/>
          <w:szCs w:val="24"/>
          <w:bdr w:val="none" w:sz="0" w:space="0" w:color="auto" w:frame="1"/>
        </w:rPr>
        <w:footnoteReference w:id="3"/>
      </w:r>
      <w:r w:rsidRPr="00913369">
        <w:rPr>
          <w:rFonts w:ascii="Times New Roman" w:hAnsi="Times New Roman" w:cs="Times New Roman"/>
          <w:iCs/>
          <w:sz w:val="24"/>
          <w:szCs w:val="24"/>
        </w:rPr>
        <w:t>, des liens financiers ou non financiers avec les dirigeants, les membres du conseil ou les titulaires de postes clés de l’entreprise mentionnée dans ce questionnaire ?</w:t>
      </w:r>
    </w:p>
    <w:p w14:paraId="169E019B" w14:textId="77777777" w:rsidR="00F24BB4" w:rsidRPr="00913369" w:rsidRDefault="00F24BB4" w:rsidP="00F24BB4">
      <w:pPr>
        <w:spacing w:after="240" w:line="276" w:lineRule="auto"/>
        <w:jc w:val="both"/>
        <w:rPr>
          <w:rFonts w:ascii="Times New Roman" w:hAnsi="Times New Roman" w:cs="Times New Roman"/>
          <w:iCs/>
          <w:sz w:val="24"/>
          <w:szCs w:val="24"/>
        </w:rPr>
      </w:pPr>
      <w:r w:rsidRPr="00913369">
        <w:rPr>
          <w:rFonts w:ascii="Times New Roman" w:hAnsi="Times New Roman" w:cs="Times New Roman"/>
          <w:b/>
          <w:iCs/>
          <w:sz w:val="24"/>
          <w:szCs w:val="24"/>
        </w:rPr>
        <w:t>8.</w:t>
      </w:r>
      <w:r w:rsidRPr="00913369">
        <w:rPr>
          <w:rFonts w:ascii="Times New Roman" w:hAnsi="Times New Roman" w:cs="Times New Roman"/>
          <w:iCs/>
          <w:sz w:val="24"/>
          <w:szCs w:val="24"/>
        </w:rPr>
        <w:t xml:space="preserve"> Avez-vous, directement ou indirectement par l’intermédiaire de proches, des liens financiers ou non financiers avec les dirigeants, les membres du conseil ou les titulaires de postes clés de la maison-mère, des actionnaires de contrôle, des filiales ou des sociétés dans lesquelles cette entreprise détient des participations ?</w:t>
      </w:r>
    </w:p>
    <w:p w14:paraId="46B05D4B" w14:textId="77777777" w:rsidR="00F24BB4" w:rsidRPr="00913369" w:rsidRDefault="00F24BB4" w:rsidP="00F24BB4">
      <w:pPr>
        <w:tabs>
          <w:tab w:val="num" w:pos="993"/>
        </w:tabs>
        <w:spacing w:after="200" w:line="276" w:lineRule="auto"/>
        <w:jc w:val="both"/>
        <w:rPr>
          <w:rFonts w:ascii="Times New Roman" w:hAnsi="Times New Roman" w:cs="Times New Roman"/>
          <w:sz w:val="24"/>
          <w:szCs w:val="24"/>
        </w:rPr>
      </w:pPr>
      <w:r w:rsidRPr="00913369">
        <w:rPr>
          <w:rFonts w:ascii="Times New Roman" w:hAnsi="Times New Roman" w:cs="Times New Roman"/>
          <w:b/>
          <w:sz w:val="24"/>
          <w:szCs w:val="24"/>
        </w:rPr>
        <w:t>9.</w:t>
      </w:r>
      <w:r w:rsidRPr="00913369">
        <w:rPr>
          <w:rFonts w:ascii="Times New Roman" w:hAnsi="Times New Roman" w:cs="Times New Roman"/>
          <w:sz w:val="24"/>
          <w:szCs w:val="24"/>
        </w:rPr>
        <w:t xml:space="preserve"> Précisez, pour chacun des cas ci-dessous, si l'une des entreprises dans lesquelles vous avez exercé au cours des dix dernières années ou exercez encore des responsabilités ou des fonctions de dirigeant effectif ou dont vous détenez une participation d’au moins 20 %, êtes ou avez été un associé en nom ou un associé commandité :</w:t>
      </w:r>
    </w:p>
    <w:p w14:paraId="76F7D2BF" w14:textId="77777777" w:rsidR="00F24BB4" w:rsidRPr="00913369" w:rsidRDefault="00F24BB4" w:rsidP="00F24BB4">
      <w:pPr>
        <w:spacing w:after="200" w:line="276" w:lineRule="auto"/>
        <w:rPr>
          <w:rFonts w:ascii="Times New Roman" w:eastAsia="Calibri" w:hAnsi="Times New Roman" w:cs="Times New Roman"/>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1"/>
        <w:gridCol w:w="2991"/>
      </w:tblGrid>
      <w:tr w:rsidR="00F24BB4" w:rsidRPr="00913369" w14:paraId="3F2807F0" w14:textId="77777777" w:rsidTr="008747AD">
        <w:tc>
          <w:tcPr>
            <w:tcW w:w="5844" w:type="dxa"/>
            <w:tcBorders>
              <w:top w:val="single" w:sz="4" w:space="0" w:color="auto"/>
              <w:left w:val="single" w:sz="4" w:space="0" w:color="auto"/>
              <w:bottom w:val="single" w:sz="4" w:space="0" w:color="auto"/>
              <w:right w:val="single" w:sz="4" w:space="0" w:color="auto"/>
            </w:tcBorders>
            <w:shd w:val="clear" w:color="auto" w:fill="D9D9D9"/>
            <w:hideMark/>
          </w:tcPr>
          <w:p w14:paraId="1C5CD4B0" w14:textId="77777777" w:rsidR="00F24BB4" w:rsidRPr="00913369" w:rsidRDefault="00F24BB4" w:rsidP="008747AD">
            <w:pPr>
              <w:jc w:val="both"/>
              <w:rPr>
                <w:rFonts w:ascii="Times New Roman" w:eastAsia="Calibri" w:hAnsi="Times New Roman" w:cs="Times New Roman"/>
                <w:sz w:val="24"/>
                <w:szCs w:val="24"/>
              </w:rPr>
            </w:pPr>
            <w:r w:rsidRPr="00913369">
              <w:rPr>
                <w:rFonts w:ascii="Times New Roman" w:eastAsia="Calibri" w:hAnsi="Times New Roman" w:cs="Times New Roman"/>
                <w:noProof/>
                <w:sz w:val="24"/>
                <w:szCs w:val="24"/>
              </w:rPr>
              <w:t xml:space="preserve">S’est vu refuser ou retirer une autorisation ou un agrément dans le domaine des assurances, bancaire, ou financier, </w:t>
            </w:r>
            <w:r w:rsidRPr="00913369">
              <w:rPr>
                <w:rFonts w:ascii="Times New Roman" w:eastAsia="Calibri" w:hAnsi="Times New Roman" w:cs="Times New Roman"/>
                <w:sz w:val="24"/>
                <w:szCs w:val="24"/>
              </w:rPr>
              <w:t>en Polynésie française ou en dehors</w:t>
            </w:r>
            <w:r w:rsidRPr="00913369">
              <w:rPr>
                <w:rFonts w:ascii="Times New Roman" w:eastAsia="Calibri" w:hAnsi="Times New Roman" w:cs="Times New Roman"/>
                <w:noProof/>
                <w:sz w:val="24"/>
                <w:szCs w:val="24"/>
              </w:rPr>
              <w:t xml:space="preserve"> </w:t>
            </w:r>
            <w:r w:rsidRPr="00913369">
              <w:rPr>
                <w:rFonts w:ascii="Times New Roman" w:eastAsia="Calibri" w:hAnsi="Times New Roman" w:cs="Times New Roman"/>
                <w:sz w:val="24"/>
                <w:szCs w:val="24"/>
              </w:rPr>
              <w:t>ou d’une mesure de redressement ou liquidation judiciaires en précisant les procédures en cours.</w:t>
            </w:r>
          </w:p>
        </w:tc>
        <w:tc>
          <w:tcPr>
            <w:tcW w:w="3084" w:type="dxa"/>
            <w:tcBorders>
              <w:top w:val="single" w:sz="4" w:space="0" w:color="auto"/>
              <w:left w:val="single" w:sz="4" w:space="0" w:color="auto"/>
              <w:bottom w:val="single" w:sz="4" w:space="0" w:color="auto"/>
              <w:right w:val="single" w:sz="4" w:space="0" w:color="auto"/>
            </w:tcBorders>
          </w:tcPr>
          <w:p w14:paraId="30581B9C"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r w:rsidR="00F24BB4" w:rsidRPr="00913369" w14:paraId="0F1A2EE7" w14:textId="77777777" w:rsidTr="008747AD">
        <w:tc>
          <w:tcPr>
            <w:tcW w:w="5844" w:type="dxa"/>
            <w:tcBorders>
              <w:top w:val="single" w:sz="4" w:space="0" w:color="auto"/>
              <w:left w:val="single" w:sz="4" w:space="0" w:color="auto"/>
              <w:bottom w:val="single" w:sz="4" w:space="0" w:color="auto"/>
              <w:right w:val="single" w:sz="4" w:space="0" w:color="auto"/>
            </w:tcBorders>
            <w:shd w:val="clear" w:color="auto" w:fill="D9D9D9"/>
            <w:hideMark/>
          </w:tcPr>
          <w:p w14:paraId="7DC55AF9" w14:textId="77777777" w:rsidR="00F24BB4" w:rsidRPr="00913369" w:rsidRDefault="00F24BB4" w:rsidP="008747AD">
            <w:pPr>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 xml:space="preserve">A vu ses commissaires aux comptes ou les contrôleurs légaux pour les entreprises ayant leur siège social à l’étranger refuser de certifier les comptes ou assortir leur certification de réserves </w:t>
            </w:r>
          </w:p>
        </w:tc>
        <w:tc>
          <w:tcPr>
            <w:tcW w:w="3084" w:type="dxa"/>
            <w:tcBorders>
              <w:top w:val="single" w:sz="4" w:space="0" w:color="auto"/>
              <w:left w:val="single" w:sz="4" w:space="0" w:color="auto"/>
              <w:bottom w:val="single" w:sz="4" w:space="0" w:color="auto"/>
              <w:right w:val="single" w:sz="4" w:space="0" w:color="auto"/>
            </w:tcBorders>
          </w:tcPr>
          <w:p w14:paraId="17400C07"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r w:rsidR="00F24BB4" w:rsidRPr="00913369" w14:paraId="1AD1A2DF" w14:textId="77777777" w:rsidTr="008747AD">
        <w:tc>
          <w:tcPr>
            <w:tcW w:w="5844" w:type="dxa"/>
            <w:tcBorders>
              <w:top w:val="single" w:sz="4" w:space="0" w:color="auto"/>
              <w:left w:val="single" w:sz="4" w:space="0" w:color="auto"/>
              <w:bottom w:val="single" w:sz="4" w:space="0" w:color="auto"/>
              <w:right w:val="single" w:sz="4" w:space="0" w:color="auto"/>
            </w:tcBorders>
            <w:shd w:val="clear" w:color="auto" w:fill="D9D9D9"/>
            <w:hideMark/>
          </w:tcPr>
          <w:p w14:paraId="7A861CE5" w14:textId="77777777" w:rsidR="00F24BB4" w:rsidRPr="00913369" w:rsidRDefault="00F24BB4" w:rsidP="008747AD">
            <w:pPr>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A fait l'objet d'une condamnation pénale, d'une sanction administrative ou disciplinaire prise par une autorité de contrôle ou une organisation professionnelle, notamment une mesure de suspension ou d’exclusion d’une organisation professionnelle en Polynésie française ou en dehors. Une telle procédure est-elle en cours ?</w:t>
            </w:r>
          </w:p>
        </w:tc>
        <w:tc>
          <w:tcPr>
            <w:tcW w:w="3084" w:type="dxa"/>
            <w:tcBorders>
              <w:top w:val="single" w:sz="4" w:space="0" w:color="auto"/>
              <w:left w:val="single" w:sz="4" w:space="0" w:color="auto"/>
              <w:bottom w:val="single" w:sz="4" w:space="0" w:color="auto"/>
              <w:right w:val="single" w:sz="4" w:space="0" w:color="auto"/>
            </w:tcBorders>
          </w:tcPr>
          <w:p w14:paraId="060F7A40"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bl>
    <w:p w14:paraId="776212A2" w14:textId="77777777" w:rsidR="00F24BB4" w:rsidRPr="00913369" w:rsidRDefault="00F24BB4" w:rsidP="00F24BB4">
      <w:pPr>
        <w:spacing w:after="200" w:line="276" w:lineRule="auto"/>
        <w:rPr>
          <w:rFonts w:ascii="Times New Roman" w:eastAsia="Calibri" w:hAnsi="Times New Roman" w:cs="Times New Roman"/>
          <w:sz w:val="24"/>
          <w:szCs w:val="24"/>
        </w:rPr>
      </w:pPr>
    </w:p>
    <w:p w14:paraId="0871D7F3" w14:textId="77777777" w:rsidR="00F24BB4" w:rsidRPr="00913369" w:rsidRDefault="00F24BB4" w:rsidP="00F24BB4">
      <w:pPr>
        <w:tabs>
          <w:tab w:val="num" w:pos="993"/>
        </w:tabs>
        <w:spacing w:after="200" w:line="276" w:lineRule="auto"/>
        <w:jc w:val="both"/>
        <w:rPr>
          <w:rFonts w:ascii="Times New Roman" w:hAnsi="Times New Roman" w:cs="Times New Roman"/>
          <w:sz w:val="24"/>
          <w:szCs w:val="24"/>
        </w:rPr>
      </w:pPr>
      <w:r w:rsidRPr="00913369">
        <w:rPr>
          <w:rFonts w:ascii="Times New Roman" w:hAnsi="Times New Roman" w:cs="Times New Roman"/>
          <w:b/>
          <w:sz w:val="24"/>
          <w:szCs w:val="24"/>
        </w:rPr>
        <w:t>10</w:t>
      </w:r>
      <w:r w:rsidRPr="00913369">
        <w:rPr>
          <w:rFonts w:ascii="Times New Roman" w:hAnsi="Times New Roman" w:cs="Times New Roman"/>
          <w:sz w:val="24"/>
          <w:szCs w:val="24"/>
        </w:rPr>
        <w:t>. Précisez, pour chacun des cas ci-dessous, si vous avez fait l’objet au cours des dix dernières années : </w:t>
      </w:r>
    </w:p>
    <w:p w14:paraId="12764BF0" w14:textId="77777777" w:rsidR="00F24BB4" w:rsidRPr="00913369" w:rsidRDefault="00F24BB4" w:rsidP="00F24BB4">
      <w:pPr>
        <w:tabs>
          <w:tab w:val="left" w:pos="708"/>
        </w:tabs>
        <w:ind w:left="567"/>
        <w:jc w:val="both"/>
        <w:rPr>
          <w:rFonts w:ascii="Times New Roman" w:hAnsi="Times New Roman" w:cs="Times New Roman"/>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3"/>
        <w:gridCol w:w="3129"/>
      </w:tblGrid>
      <w:tr w:rsidR="00F24BB4" w:rsidRPr="00913369" w14:paraId="2E365347" w14:textId="77777777" w:rsidTr="008747AD">
        <w:tc>
          <w:tcPr>
            <w:tcW w:w="5702" w:type="dxa"/>
            <w:tcBorders>
              <w:top w:val="single" w:sz="4" w:space="0" w:color="auto"/>
              <w:left w:val="single" w:sz="4" w:space="0" w:color="auto"/>
              <w:bottom w:val="single" w:sz="4" w:space="0" w:color="auto"/>
              <w:right w:val="single" w:sz="4" w:space="0" w:color="auto"/>
            </w:tcBorders>
            <w:shd w:val="clear" w:color="auto" w:fill="D9D9D9"/>
            <w:hideMark/>
          </w:tcPr>
          <w:p w14:paraId="5F4BF4AD" w14:textId="77777777" w:rsidR="00F24BB4" w:rsidRPr="00913369" w:rsidRDefault="00F24BB4" w:rsidP="008747AD">
            <w:pPr>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d'une condamnation pénale, d’une interdiction de gérer, d’une sanction administrative ou disciplinaire d'une autorité de contrôle ou professionnelle ou d'une mesure de suspension ou d'exclusion d'une organisation professionnelle en Polynésie française ou en dehors. Faites-vous actuellement l’objet d’une telle procédure ?</w:t>
            </w:r>
          </w:p>
        </w:tc>
        <w:tc>
          <w:tcPr>
            <w:tcW w:w="3226" w:type="dxa"/>
            <w:tcBorders>
              <w:top w:val="single" w:sz="4" w:space="0" w:color="auto"/>
              <w:left w:val="single" w:sz="4" w:space="0" w:color="auto"/>
              <w:bottom w:val="single" w:sz="4" w:space="0" w:color="auto"/>
              <w:right w:val="single" w:sz="4" w:space="0" w:color="auto"/>
            </w:tcBorders>
          </w:tcPr>
          <w:p w14:paraId="7FF67D6A"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r w:rsidR="00F24BB4" w:rsidRPr="00913369" w14:paraId="64808AC8" w14:textId="77777777" w:rsidTr="008747AD">
        <w:tc>
          <w:tcPr>
            <w:tcW w:w="5702" w:type="dxa"/>
            <w:tcBorders>
              <w:top w:val="single" w:sz="4" w:space="0" w:color="auto"/>
              <w:left w:val="single" w:sz="4" w:space="0" w:color="auto"/>
              <w:bottom w:val="single" w:sz="4" w:space="0" w:color="auto"/>
              <w:right w:val="single" w:sz="4" w:space="0" w:color="auto"/>
            </w:tcBorders>
            <w:shd w:val="clear" w:color="auto" w:fill="D9D9D9"/>
            <w:hideMark/>
          </w:tcPr>
          <w:p w14:paraId="7525A9B9" w14:textId="77777777" w:rsidR="00F24BB4" w:rsidRPr="00913369" w:rsidRDefault="00F24BB4" w:rsidP="008747AD">
            <w:pPr>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d'un licenciement pour faute professionnelle ou d’une révocation d’un de vos mandats (donnez dans ce cas toutes précisions utiles). Une telle procédure est-elle en cours en Polynésie française ou en dehors?</w:t>
            </w:r>
          </w:p>
        </w:tc>
        <w:tc>
          <w:tcPr>
            <w:tcW w:w="3226" w:type="dxa"/>
            <w:tcBorders>
              <w:top w:val="single" w:sz="4" w:space="0" w:color="auto"/>
              <w:left w:val="single" w:sz="4" w:space="0" w:color="auto"/>
              <w:bottom w:val="single" w:sz="4" w:space="0" w:color="auto"/>
              <w:right w:val="single" w:sz="4" w:space="0" w:color="auto"/>
            </w:tcBorders>
          </w:tcPr>
          <w:p w14:paraId="40ED23BB" w14:textId="77777777" w:rsidR="00F24BB4" w:rsidRPr="00913369" w:rsidRDefault="00F24BB4" w:rsidP="008747AD">
            <w:pPr>
              <w:tabs>
                <w:tab w:val="left" w:pos="708"/>
              </w:tabs>
              <w:jc w:val="both"/>
              <w:rPr>
                <w:rFonts w:ascii="Times New Roman" w:eastAsia="Calibri" w:hAnsi="Times New Roman" w:cs="Times New Roman"/>
                <w:sz w:val="24"/>
                <w:szCs w:val="24"/>
              </w:rPr>
            </w:pPr>
          </w:p>
        </w:tc>
      </w:tr>
    </w:tbl>
    <w:p w14:paraId="3259104B" w14:textId="77777777" w:rsidR="00F24BB4" w:rsidRPr="00913369" w:rsidRDefault="00F24BB4" w:rsidP="00F24BB4">
      <w:pPr>
        <w:keepNext/>
        <w:tabs>
          <w:tab w:val="num" w:pos="1701"/>
        </w:tabs>
        <w:jc w:val="both"/>
        <w:rPr>
          <w:rFonts w:ascii="Times New Roman" w:hAnsi="Times New Roman" w:cs="Times New Roman"/>
          <w:sz w:val="24"/>
          <w:szCs w:val="24"/>
        </w:rPr>
      </w:pPr>
    </w:p>
    <w:p w14:paraId="1DD2EDD5" w14:textId="77777777" w:rsidR="00F24BB4" w:rsidRPr="00913369" w:rsidRDefault="00F24BB4" w:rsidP="00F24BB4">
      <w:pPr>
        <w:keepNext/>
        <w:tabs>
          <w:tab w:val="num" w:pos="1701"/>
        </w:tabs>
        <w:jc w:val="both"/>
        <w:rPr>
          <w:rFonts w:ascii="Times New Roman" w:hAnsi="Times New Roman" w:cs="Times New Roman"/>
          <w:sz w:val="24"/>
          <w:szCs w:val="24"/>
        </w:rPr>
      </w:pPr>
      <w:r w:rsidRPr="00913369">
        <w:rPr>
          <w:rFonts w:ascii="Times New Roman" w:hAnsi="Times New Roman" w:cs="Times New Roman"/>
          <w:b/>
          <w:sz w:val="24"/>
          <w:szCs w:val="24"/>
        </w:rPr>
        <w:t>11.</w:t>
      </w:r>
      <w:r w:rsidRPr="00913369">
        <w:rPr>
          <w:rFonts w:ascii="Times New Roman" w:hAnsi="Times New Roman" w:cs="Times New Roman"/>
          <w:sz w:val="24"/>
          <w:szCs w:val="24"/>
        </w:rPr>
        <w:t xml:space="preserve"> Autres informations : </w:t>
      </w:r>
    </w:p>
    <w:p w14:paraId="3FFABD06" w14:textId="77777777" w:rsidR="00F24BB4" w:rsidRPr="00913369" w:rsidRDefault="00F24BB4" w:rsidP="00F24BB4">
      <w:pPr>
        <w:keepNext/>
        <w:tabs>
          <w:tab w:val="left" w:pos="708"/>
        </w:tabs>
        <w:jc w:val="both"/>
        <w:rPr>
          <w:rFonts w:ascii="Times New Roman" w:hAnsi="Times New Roman" w:cs="Times New Roman"/>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1"/>
        <w:gridCol w:w="3131"/>
      </w:tblGrid>
      <w:tr w:rsidR="00F24BB4" w:rsidRPr="00913369" w14:paraId="26C888DF" w14:textId="77777777" w:rsidTr="008747AD">
        <w:tc>
          <w:tcPr>
            <w:tcW w:w="5702" w:type="dxa"/>
            <w:tcBorders>
              <w:top w:val="single" w:sz="4" w:space="0" w:color="auto"/>
              <w:left w:val="single" w:sz="4" w:space="0" w:color="auto"/>
              <w:bottom w:val="single" w:sz="4" w:space="0" w:color="auto"/>
              <w:right w:val="single" w:sz="4" w:space="0" w:color="auto"/>
            </w:tcBorders>
            <w:shd w:val="clear" w:color="auto" w:fill="D9D9D9"/>
            <w:hideMark/>
          </w:tcPr>
          <w:p w14:paraId="1132754F" w14:textId="77777777" w:rsidR="00F24BB4" w:rsidRPr="00913369" w:rsidRDefault="00F24BB4" w:rsidP="008747AD">
            <w:pPr>
              <w:keepNext/>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sz w:val="24"/>
                <w:szCs w:val="24"/>
              </w:rPr>
              <w:t>Avez-vous fait l’objet d’un examen par une autre autorité de supervision des assurances ou une autre autorité non assurantielle de votre expérience, compétence et honorabilité ? Nous fournir le résultat de cette évaluation.</w:t>
            </w:r>
          </w:p>
        </w:tc>
        <w:tc>
          <w:tcPr>
            <w:tcW w:w="3226" w:type="dxa"/>
            <w:tcBorders>
              <w:top w:val="single" w:sz="4" w:space="0" w:color="auto"/>
              <w:left w:val="single" w:sz="4" w:space="0" w:color="auto"/>
              <w:bottom w:val="single" w:sz="4" w:space="0" w:color="auto"/>
              <w:right w:val="single" w:sz="4" w:space="0" w:color="auto"/>
            </w:tcBorders>
          </w:tcPr>
          <w:p w14:paraId="57CB2147" w14:textId="77777777" w:rsidR="00F24BB4" w:rsidRPr="00913369" w:rsidRDefault="00F24BB4" w:rsidP="008747AD">
            <w:pPr>
              <w:keepNext/>
              <w:tabs>
                <w:tab w:val="left" w:pos="708"/>
              </w:tabs>
              <w:jc w:val="both"/>
              <w:rPr>
                <w:rFonts w:ascii="Times New Roman" w:eastAsia="Calibri" w:hAnsi="Times New Roman" w:cs="Times New Roman"/>
                <w:sz w:val="24"/>
                <w:szCs w:val="24"/>
              </w:rPr>
            </w:pPr>
          </w:p>
        </w:tc>
      </w:tr>
      <w:tr w:rsidR="00F24BB4" w:rsidRPr="00913369" w14:paraId="560FB75D" w14:textId="77777777" w:rsidTr="008747AD">
        <w:tc>
          <w:tcPr>
            <w:tcW w:w="5702" w:type="dxa"/>
            <w:tcBorders>
              <w:top w:val="single" w:sz="4" w:space="0" w:color="auto"/>
              <w:left w:val="single" w:sz="4" w:space="0" w:color="auto"/>
              <w:bottom w:val="single" w:sz="4" w:space="0" w:color="auto"/>
              <w:right w:val="single" w:sz="4" w:space="0" w:color="auto"/>
            </w:tcBorders>
            <w:shd w:val="clear" w:color="auto" w:fill="D9D9D9"/>
            <w:hideMark/>
          </w:tcPr>
          <w:p w14:paraId="763791F3" w14:textId="77777777" w:rsidR="00F24BB4" w:rsidRPr="00913369" w:rsidRDefault="00F24BB4" w:rsidP="008747AD">
            <w:pPr>
              <w:keepNext/>
              <w:tabs>
                <w:tab w:val="left" w:pos="708"/>
              </w:tabs>
              <w:jc w:val="both"/>
              <w:rPr>
                <w:rFonts w:ascii="Times New Roman" w:eastAsia="Calibri" w:hAnsi="Times New Roman" w:cs="Times New Roman"/>
                <w:sz w:val="24"/>
                <w:szCs w:val="24"/>
              </w:rPr>
            </w:pPr>
            <w:r w:rsidRPr="00913369">
              <w:rPr>
                <w:rFonts w:ascii="Times New Roman" w:eastAsia="Calibri" w:hAnsi="Times New Roman" w:cs="Times New Roman"/>
                <w:noProof/>
                <w:sz w:val="24"/>
                <w:szCs w:val="24"/>
              </w:rPr>
              <w:t>Fournir, le cas échéant, toute information susceptible d'éclairer l’appréciation de la Polynésie française sur votre honorabilité et votre compétence.</w:t>
            </w:r>
          </w:p>
        </w:tc>
        <w:tc>
          <w:tcPr>
            <w:tcW w:w="3226" w:type="dxa"/>
            <w:tcBorders>
              <w:top w:val="single" w:sz="4" w:space="0" w:color="auto"/>
              <w:left w:val="single" w:sz="4" w:space="0" w:color="auto"/>
              <w:bottom w:val="single" w:sz="4" w:space="0" w:color="auto"/>
              <w:right w:val="single" w:sz="4" w:space="0" w:color="auto"/>
            </w:tcBorders>
          </w:tcPr>
          <w:p w14:paraId="4CE7074B" w14:textId="77777777" w:rsidR="00F24BB4" w:rsidRPr="00913369" w:rsidRDefault="00F24BB4" w:rsidP="008747AD">
            <w:pPr>
              <w:keepNext/>
              <w:tabs>
                <w:tab w:val="left" w:pos="708"/>
              </w:tabs>
              <w:jc w:val="both"/>
              <w:rPr>
                <w:rFonts w:ascii="Times New Roman" w:eastAsia="Calibri" w:hAnsi="Times New Roman" w:cs="Times New Roman"/>
                <w:sz w:val="24"/>
                <w:szCs w:val="24"/>
              </w:rPr>
            </w:pPr>
          </w:p>
        </w:tc>
      </w:tr>
    </w:tbl>
    <w:p w14:paraId="33FA52F0" w14:textId="77777777" w:rsidR="00F24BB4" w:rsidRPr="00913369" w:rsidRDefault="00F24BB4" w:rsidP="00F24BB4">
      <w:pPr>
        <w:spacing w:after="200" w:line="276" w:lineRule="auto"/>
        <w:rPr>
          <w:rFonts w:ascii="Times New Roman" w:eastAsia="Calibri" w:hAnsi="Times New Roman" w:cs="Times New Roman"/>
          <w:sz w:val="24"/>
          <w:szCs w:val="24"/>
        </w:rPr>
      </w:pPr>
    </w:p>
    <w:p w14:paraId="254C8719"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rPr>
          <w:rFonts w:ascii="Times New Roman" w:eastAsia="Calibri" w:hAnsi="Times New Roman" w:cs="Times New Roman"/>
        </w:rPr>
      </w:pPr>
      <w:r w:rsidRPr="00913369">
        <w:rPr>
          <w:rFonts w:ascii="Times New Roman" w:eastAsia="Calibri" w:hAnsi="Times New Roman" w:cs="Times New Roman"/>
        </w:rPr>
        <w:t xml:space="preserve">Les données à caractère personnel collectées par la Direction générale des Affaires économiques (DGAE), directement auprès de vous et indirectement auprès de l’entreprise d’assurance qui a collecté les données en premier lieu font l'objet d'un traitement ayant pour finalité le contrôle des nomination ou renouvellement de dirigeants de sociétés d’assurance. </w:t>
      </w:r>
    </w:p>
    <w:p w14:paraId="03E78F9F"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rPr>
          <w:rFonts w:ascii="Times New Roman" w:eastAsia="Calibri" w:hAnsi="Times New Roman" w:cs="Times New Roman"/>
        </w:rPr>
      </w:pPr>
      <w:r w:rsidRPr="00913369">
        <w:rPr>
          <w:rFonts w:ascii="Times New Roman" w:eastAsia="Calibri" w:hAnsi="Times New Roman" w:cs="Times New Roman"/>
        </w:rPr>
        <w:t>Ce traitement est fondé sur la mission d’intérêt public de la DGAE, en matière économique. Il s’inscrit dans le cadre de la mise en œuvre de l’article LP 322-3 et A 322-1 du code des assurances.</w:t>
      </w:r>
    </w:p>
    <w:p w14:paraId="657D6974"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rPr>
          <w:rFonts w:ascii="Times New Roman" w:eastAsia="Calibri" w:hAnsi="Times New Roman" w:cs="Times New Roman"/>
        </w:rPr>
      </w:pPr>
      <w:r w:rsidRPr="00913369">
        <w:rPr>
          <w:rFonts w:ascii="Times New Roman" w:eastAsia="Calibri" w:hAnsi="Times New Roman" w:cs="Times New Roman"/>
        </w:rPr>
        <w:t xml:space="preserve">Les données indiquées dans le présent formulaire sont, à ce titre, obligatoires. A défaut la DGAE ne pourra satisfaire à votre demande. Elles sont à destination de la cellule Activités et professions réglementées de la DGAE conformément à l’arrêté n° 1036 CM du 21 juillet 2011 modifié portant création, organisation et fonctionnement du service administratif dénommé « Direction générale des Affaires économiques ». </w:t>
      </w:r>
    </w:p>
    <w:p w14:paraId="174364CE"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rPr>
          <w:rFonts w:ascii="Times New Roman" w:eastAsia="Calibri" w:hAnsi="Times New Roman" w:cs="Times New Roman"/>
        </w:rPr>
      </w:pPr>
      <w:r w:rsidRPr="00913369">
        <w:rPr>
          <w:rFonts w:ascii="Times New Roman" w:eastAsia="Calibri" w:hAnsi="Times New Roman" w:cs="Times New Roman"/>
        </w:rPr>
        <w:lastRenderedPageBreak/>
        <w:t xml:space="preserve">Elles sont conservées pendant toute votre activité puis 6 ans à compter de la cessation de fonction du dirigeant. </w:t>
      </w:r>
    </w:p>
    <w:p w14:paraId="0F7EE843"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rPr>
          <w:rFonts w:ascii="Times New Roman" w:eastAsia="Calibri" w:hAnsi="Times New Roman" w:cs="Times New Roman"/>
        </w:rPr>
      </w:pPr>
      <w:r w:rsidRPr="00913369">
        <w:rPr>
          <w:rFonts w:ascii="Times New Roman" w:eastAsia="Calibri" w:hAnsi="Times New Roman" w:cs="Times New Roman"/>
        </w:rPr>
        <w:t xml:space="preserve">Conformément à la loi informatique et libertés n° 78-17 du 6 janvier 1978 modifiée, vous disposez des droits suivants sur vos données : droit d'accès, droit de rectification, droit à l'effacement, droit d'opposition, droit à la limitation du traitement, que vous pouvez exercer, en justifiant de votre identité, aux adresses suivantes : Direction générale des Affaires économiques BP 82 – 98 713 Papeete TAHITI Tél. : (+689) 40 50 97 97 Fax : (+689) 40 50 97 79 Courriel : secretariat.dgae@administration.gov.pf </w:t>
      </w:r>
    </w:p>
    <w:p w14:paraId="12A11960"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rPr>
          <w:rFonts w:ascii="Times New Roman" w:eastAsia="Calibri" w:hAnsi="Times New Roman" w:cs="Times New Roman"/>
        </w:rPr>
      </w:pPr>
      <w:r w:rsidRPr="00913369">
        <w:rPr>
          <w:rFonts w:ascii="Times New Roman" w:eastAsia="Calibri" w:hAnsi="Times New Roman" w:cs="Times New Roman"/>
        </w:rPr>
        <w:t xml:space="preserve"> Pour des questions sur vos données, vous pouvez contacter la Déléguée à la Protection des Données aux adresses suivantes : DPO, à la Direction du système d’Information de la Polynésie française (DSI), BP 4574 98 713 Papeete </w:t>
      </w:r>
    </w:p>
    <w:p w14:paraId="495732D8"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rPr>
          <w:rFonts w:ascii="Times New Roman" w:eastAsia="Calibri" w:hAnsi="Times New Roman" w:cs="Times New Roman"/>
        </w:rPr>
      </w:pPr>
      <w:r w:rsidRPr="00913369">
        <w:rPr>
          <w:rFonts w:ascii="Times New Roman" w:eastAsia="Calibri" w:hAnsi="Times New Roman" w:cs="Times New Roman"/>
        </w:rPr>
        <w:t xml:space="preserve"> Courriel: dpo@administration.gov.pf </w:t>
      </w:r>
    </w:p>
    <w:p w14:paraId="31466070"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rPr>
          <w:rFonts w:ascii="Times New Roman" w:eastAsia="Calibri" w:hAnsi="Times New Roman" w:cs="Times New Roman"/>
        </w:rPr>
      </w:pPr>
      <w:r w:rsidRPr="00913369">
        <w:rPr>
          <w:rFonts w:ascii="Times New Roman" w:eastAsia="Calibri" w:hAnsi="Times New Roman" w:cs="Times New Roman"/>
        </w:rPr>
        <w:t>Vous pouvez également introduire une réclamation auprès de la CNIL www.cnil.fr, si vous estimez que vos droits n'ont pas été respectés.</w:t>
      </w:r>
    </w:p>
    <w:p w14:paraId="73EE659A" w14:textId="77777777" w:rsidR="00F24BB4" w:rsidRPr="00913369" w:rsidRDefault="00F24BB4" w:rsidP="00F24BB4">
      <w:pPr>
        <w:spacing w:after="200"/>
        <w:jc w:val="both"/>
        <w:rPr>
          <w:rFonts w:ascii="Times New Roman" w:hAnsi="Times New Roman" w:cs="Times New Roman"/>
          <w:sz w:val="24"/>
          <w:szCs w:val="24"/>
        </w:rPr>
      </w:pPr>
    </w:p>
    <w:p w14:paraId="1BBCB8A3" w14:textId="77777777" w:rsidR="00F24BB4" w:rsidRPr="00913369" w:rsidRDefault="00F24BB4" w:rsidP="00F24BB4">
      <w:pPr>
        <w:spacing w:after="200"/>
        <w:jc w:val="both"/>
        <w:rPr>
          <w:rFonts w:ascii="Times New Roman" w:hAnsi="Times New Roman" w:cs="Times New Roman"/>
          <w:sz w:val="24"/>
          <w:szCs w:val="24"/>
        </w:rPr>
      </w:pPr>
    </w:p>
    <w:p w14:paraId="32040A13" w14:textId="77777777" w:rsidR="00F24BB4" w:rsidRPr="00913369" w:rsidRDefault="00F24BB4" w:rsidP="00F24BB4">
      <w:pPr>
        <w:rPr>
          <w:rFonts w:ascii="Times New Roman" w:hAnsi="Times New Roman" w:cs="Times New Roman"/>
          <w:b/>
          <w:sz w:val="28"/>
          <w:szCs w:val="28"/>
        </w:rPr>
      </w:pPr>
      <w:r w:rsidRPr="00913369">
        <w:rPr>
          <w:rFonts w:ascii="Times New Roman" w:hAnsi="Times New Roman" w:cs="Times New Roman"/>
          <w:b/>
          <w:sz w:val="28"/>
          <w:szCs w:val="28"/>
        </w:rPr>
        <w:br w:type="page"/>
      </w:r>
    </w:p>
    <w:p w14:paraId="600351F8" w14:textId="77777777" w:rsidR="00F24BB4" w:rsidRPr="00913369" w:rsidRDefault="00F24BB4" w:rsidP="00F24BB4">
      <w:pPr>
        <w:jc w:val="center"/>
        <w:rPr>
          <w:rFonts w:ascii="Times New Roman" w:hAnsi="Times New Roman" w:cs="Times New Roman"/>
          <w:b/>
          <w:sz w:val="28"/>
          <w:szCs w:val="28"/>
        </w:rPr>
      </w:pPr>
      <w:r w:rsidRPr="00913369">
        <w:rPr>
          <w:rFonts w:ascii="Times New Roman" w:hAnsi="Times New Roman" w:cs="Times New Roman"/>
          <w:b/>
          <w:sz w:val="28"/>
          <w:szCs w:val="28"/>
        </w:rPr>
        <w:lastRenderedPageBreak/>
        <w:t>Annexe 3-4</w:t>
      </w:r>
    </w:p>
    <w:p w14:paraId="2D970E1A" w14:textId="77777777" w:rsidR="00F24BB4" w:rsidRPr="00913369" w:rsidRDefault="00F24BB4" w:rsidP="00FE2714">
      <w:pPr>
        <w:rPr>
          <w:rFonts w:ascii="Times New Roman" w:hAnsi="Times New Roman" w:cs="Times New Roman"/>
          <w:i/>
          <w:sz w:val="24"/>
          <w:szCs w:val="24"/>
        </w:rPr>
      </w:pPr>
    </w:p>
    <w:p w14:paraId="1704BBD0" w14:textId="77777777" w:rsidR="00F24BB4" w:rsidRPr="00913369" w:rsidRDefault="00F24BB4" w:rsidP="00F24BB4">
      <w:pPr>
        <w:spacing w:after="200" w:line="276" w:lineRule="auto"/>
        <w:jc w:val="center"/>
        <w:rPr>
          <w:rFonts w:ascii="Times New Roman" w:hAnsi="Times New Roman" w:cs="Times New Roman"/>
          <w:b/>
        </w:rPr>
      </w:pPr>
      <w:r w:rsidRPr="00913369">
        <w:rPr>
          <w:rFonts w:ascii="Times New Roman" w:hAnsi="Times New Roman" w:cs="Times New Roman"/>
          <w:b/>
        </w:rPr>
        <w:t>Etat PF 1 : Rapport annuel sur les opérations d’assurance effectuées en Polynésie française</w:t>
      </w:r>
    </w:p>
    <w:p w14:paraId="2BA5CF2A"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Les entreprises agréées pour les opérations visées au 1° de l’article LP 310-1 et qui pratiquent, le cas échéant, des opérations visées au 2° du même article, établissent un état PF1 Vie et Mixte. Les autres entreprises visées par l’article LP 310-1 établissent un état PF1 Non-Vie.</w:t>
      </w:r>
    </w:p>
    <w:p w14:paraId="1309455E" w14:textId="77777777" w:rsidR="00F24BB4" w:rsidRPr="00913369" w:rsidRDefault="00F24BB4" w:rsidP="00F24BB4">
      <w:pPr>
        <w:spacing w:line="276" w:lineRule="auto"/>
        <w:jc w:val="both"/>
        <w:rPr>
          <w:rFonts w:ascii="Times New Roman" w:hAnsi="Times New Roman" w:cs="Times New Roman"/>
        </w:rPr>
      </w:pPr>
    </w:p>
    <w:p w14:paraId="65B6E915"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Le modèle des états PF1 Vie et Mixte et PF1 Non-Vie sont fixés ci-après.</w:t>
      </w:r>
    </w:p>
    <w:p w14:paraId="3518C4D7" w14:textId="6890DCB1"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Les montants doivent être exprimés en F CFP.</w:t>
      </w:r>
    </w:p>
    <w:p w14:paraId="12442966" w14:textId="77777777" w:rsidR="00F24BB4" w:rsidRPr="00913369" w:rsidRDefault="00F24BB4" w:rsidP="00F24BB4">
      <w:pPr>
        <w:spacing w:line="276" w:lineRule="auto"/>
        <w:jc w:val="both"/>
        <w:rPr>
          <w:rFonts w:ascii="Times New Roman" w:hAnsi="Times New Roman" w:cs="Times New Roman"/>
        </w:rPr>
      </w:pPr>
    </w:p>
    <w:p w14:paraId="5BF4F7DC" w14:textId="77777777" w:rsidR="00F24BB4" w:rsidRPr="00913369" w:rsidRDefault="00F24BB4" w:rsidP="00F24BB4">
      <w:pPr>
        <w:numPr>
          <w:ilvl w:val="0"/>
          <w:numId w:val="3"/>
        </w:numPr>
        <w:spacing w:after="0" w:line="276" w:lineRule="auto"/>
        <w:ind w:hanging="1080"/>
        <w:rPr>
          <w:rFonts w:ascii="Times New Roman" w:hAnsi="Times New Roman" w:cs="Times New Roman"/>
        </w:rPr>
      </w:pPr>
      <w:r w:rsidRPr="00913369">
        <w:rPr>
          <w:rFonts w:ascii="Times New Roman" w:hAnsi="Times New Roman" w:cs="Times New Roman"/>
        </w:rPr>
        <w:t>Renseignements généraux communs aux états PF1 Vie et Mixte et PF1 Non-Vie</w:t>
      </w:r>
    </w:p>
    <w:p w14:paraId="5FD5898A" w14:textId="77777777" w:rsidR="00F24BB4" w:rsidRPr="00913369" w:rsidRDefault="00F24BB4" w:rsidP="00F24BB4">
      <w:pPr>
        <w:spacing w:line="276" w:lineRule="auto"/>
        <w:jc w:val="both"/>
        <w:rPr>
          <w:rFonts w:ascii="Times New Roman" w:hAnsi="Times New Roman" w:cs="Times New Roman"/>
        </w:rPr>
      </w:pPr>
    </w:p>
    <w:p w14:paraId="1E0A4C13"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Les renseignements généraux de l’état retraçant les opérations d’assurance effectuées en Polynésie française à produire à la Polynésie française par les entreprises agréées sont les suivants : </w:t>
      </w:r>
    </w:p>
    <w:p w14:paraId="0C153FAF"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a) la raison sociale de l'entreprise, l’adresse de son siège social et si l’entreprise est considérée comme disposant d’une succursale en Polynésie française conformément au code des assurances applicable en Polynésie française ; </w:t>
      </w:r>
    </w:p>
    <w:p w14:paraId="2638DAB1"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b) la liste des branches pour lesquelles l’entreprise est agréée en Polynésie française ;</w:t>
      </w:r>
    </w:p>
    <w:p w14:paraId="6E2A8207"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c) la liste des branches pratiquées en Polynésie française ;</w:t>
      </w:r>
    </w:p>
    <w:p w14:paraId="6FCB3C8D"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d) les modifications apportées à la liste des risques assurés par l’entreprise en Polynésie française ;</w:t>
      </w:r>
    </w:p>
    <w:p w14:paraId="62DEF0B8"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e) la date de clôture de l’exercice comptable ;</w:t>
      </w:r>
    </w:p>
    <w:p w14:paraId="1DC5BAA8"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f) l’année de l’exercice comptable concernée par l’état complété.</w:t>
      </w:r>
    </w:p>
    <w:p w14:paraId="45968384"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g) la listes des intermédiaires d’assurance faisant souscrire, pour le compte de l’entreprise, des contrats dont le risque est situé en Polynésie française tel que défini aux articles LP 310-4 et LP 310-5.</w:t>
      </w:r>
    </w:p>
    <w:p w14:paraId="3A40398B"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f) les comptes annuels établis conformément à l’article DEL 334-2 du présent code.</w:t>
      </w:r>
    </w:p>
    <w:p w14:paraId="4CEC5420" w14:textId="77777777" w:rsidR="00F24BB4" w:rsidRPr="00913369" w:rsidRDefault="00F24BB4" w:rsidP="00F24BB4">
      <w:pPr>
        <w:spacing w:line="276" w:lineRule="auto"/>
        <w:jc w:val="both"/>
        <w:rPr>
          <w:rFonts w:ascii="Times New Roman" w:hAnsi="Times New Roman" w:cs="Times New Roman"/>
        </w:rPr>
      </w:pPr>
    </w:p>
    <w:p w14:paraId="2164262B" w14:textId="77777777" w:rsidR="00F24BB4" w:rsidRPr="00913369" w:rsidRDefault="00F24BB4" w:rsidP="00F24BB4">
      <w:pPr>
        <w:numPr>
          <w:ilvl w:val="0"/>
          <w:numId w:val="3"/>
        </w:numPr>
        <w:spacing w:after="0" w:line="276" w:lineRule="auto"/>
        <w:ind w:hanging="1080"/>
        <w:rPr>
          <w:rFonts w:ascii="Times New Roman" w:hAnsi="Times New Roman" w:cs="Times New Roman"/>
        </w:rPr>
      </w:pPr>
      <w:r w:rsidRPr="00913369">
        <w:rPr>
          <w:rFonts w:ascii="Times New Roman" w:hAnsi="Times New Roman" w:cs="Times New Roman"/>
        </w:rPr>
        <w:t>Etat PF1 Vie et Mixte</w:t>
      </w:r>
    </w:p>
    <w:p w14:paraId="1A191198" w14:textId="77777777" w:rsidR="00F24BB4" w:rsidRPr="00913369" w:rsidRDefault="00F24BB4" w:rsidP="00F24BB4">
      <w:pPr>
        <w:spacing w:line="276" w:lineRule="auto"/>
        <w:jc w:val="both"/>
        <w:rPr>
          <w:rFonts w:ascii="Times New Roman" w:hAnsi="Times New Roman" w:cs="Times New Roman"/>
          <w:u w:val="single"/>
        </w:rPr>
      </w:pPr>
    </w:p>
    <w:p w14:paraId="4EC4C31E" w14:textId="77777777" w:rsidR="00F24BB4" w:rsidRPr="00913369" w:rsidRDefault="00F24BB4" w:rsidP="00F24BB4">
      <w:pPr>
        <w:spacing w:line="276" w:lineRule="auto"/>
        <w:jc w:val="both"/>
        <w:rPr>
          <w:rFonts w:ascii="Times New Roman" w:hAnsi="Times New Roman" w:cs="Times New Roman"/>
          <w:u w:val="single"/>
        </w:rPr>
      </w:pPr>
      <w:r w:rsidRPr="00913369">
        <w:rPr>
          <w:rFonts w:ascii="Times New Roman" w:hAnsi="Times New Roman" w:cs="Times New Roman"/>
          <w:u w:val="single"/>
        </w:rPr>
        <w:t>L’état PF1 Vie et Mixte comporte les colonnes suivantes :</w:t>
      </w:r>
    </w:p>
    <w:p w14:paraId="6D7E3A00"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Nombre de contrats en cours (VIE) ou souscrits (NON-VIE) : </w:t>
      </w:r>
    </w:p>
    <w:p w14:paraId="1E84059E" w14:textId="77777777" w:rsidR="00F24BB4" w:rsidRPr="00913369" w:rsidRDefault="00F24BB4" w:rsidP="00F24BB4">
      <w:pPr>
        <w:numPr>
          <w:ilvl w:val="0"/>
          <w:numId w:val="2"/>
        </w:numPr>
        <w:spacing w:after="0" w:line="276" w:lineRule="auto"/>
        <w:jc w:val="both"/>
        <w:rPr>
          <w:rFonts w:ascii="Times New Roman" w:hAnsi="Times New Roman" w:cs="Times New Roman"/>
        </w:rPr>
      </w:pPr>
      <w:r w:rsidRPr="00913369">
        <w:rPr>
          <w:rFonts w:ascii="Times New Roman" w:hAnsi="Times New Roman" w:cs="Times New Roman"/>
        </w:rPr>
        <w:t>NON-VIE : nombre de polices souscrites dans l'année, y compris les renouvellements ;</w:t>
      </w:r>
    </w:p>
    <w:p w14:paraId="49D83C5D" w14:textId="77777777" w:rsidR="00F24BB4" w:rsidRPr="00913369" w:rsidRDefault="00F24BB4" w:rsidP="00F24BB4">
      <w:pPr>
        <w:numPr>
          <w:ilvl w:val="0"/>
          <w:numId w:val="2"/>
        </w:numPr>
        <w:spacing w:after="0" w:line="276" w:lineRule="auto"/>
        <w:jc w:val="both"/>
        <w:rPr>
          <w:rFonts w:ascii="Times New Roman" w:hAnsi="Times New Roman" w:cs="Times New Roman"/>
        </w:rPr>
      </w:pPr>
      <w:r w:rsidRPr="00913369">
        <w:rPr>
          <w:rFonts w:ascii="Times New Roman" w:hAnsi="Times New Roman" w:cs="Times New Roman"/>
        </w:rPr>
        <w:t>VIE : nombre de contrats en cours à la clôture de l'exercice comptable.</w:t>
      </w:r>
    </w:p>
    <w:p w14:paraId="07909DF2"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Montant des primes : primes émises, nettes d'annulations, brutes de réassurance (compte de résultat technique non-vie, compte de résultat technique vie).</w:t>
      </w:r>
    </w:p>
    <w:p w14:paraId="5207FE71"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lastRenderedPageBreak/>
        <w:t>Nombre de déclarations de sinistres (NON-VIE) : nombre de sinistre déclarés dans l'année. Etat à la clôture de l'exercice comptable.</w:t>
      </w:r>
    </w:p>
    <w:p w14:paraId="17B9115D"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Nombre de dossiers de sinistres (NON-VIE) en cours : nombre de dossier de sinistre en cours de gestion à la clôture de l'exercice comptable.</w:t>
      </w:r>
    </w:p>
    <w:p w14:paraId="31DBEE3C"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Provisions techniques : au passif du bilan (y compris provisions des contrats en unités de compte), brutes de réassurance.</w:t>
      </w:r>
    </w:p>
    <w:p w14:paraId="5D4F3848"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Prestations (VIE) ou sinistres (NON-VIE) payés (y compris rachats) : </w:t>
      </w:r>
    </w:p>
    <w:p w14:paraId="432EFCBF" w14:textId="77777777" w:rsidR="00F24BB4" w:rsidRPr="00913369" w:rsidRDefault="00F24BB4" w:rsidP="00F24BB4">
      <w:pPr>
        <w:numPr>
          <w:ilvl w:val="0"/>
          <w:numId w:val="2"/>
        </w:numPr>
        <w:spacing w:after="0" w:line="276" w:lineRule="auto"/>
        <w:jc w:val="both"/>
        <w:rPr>
          <w:rFonts w:ascii="Times New Roman" w:hAnsi="Times New Roman" w:cs="Times New Roman"/>
        </w:rPr>
      </w:pPr>
      <w:r w:rsidRPr="00913369">
        <w:rPr>
          <w:rFonts w:ascii="Times New Roman" w:hAnsi="Times New Roman" w:cs="Times New Roman"/>
        </w:rPr>
        <w:t>NON-VIE : prestations, frais payés et charge des provisions pour sinistres (compte technique non-vie), bruts de réassurance ;</w:t>
      </w:r>
    </w:p>
    <w:p w14:paraId="7CA2F603" w14:textId="77777777" w:rsidR="00F24BB4" w:rsidRPr="00913369" w:rsidRDefault="00F24BB4" w:rsidP="00F24BB4">
      <w:pPr>
        <w:numPr>
          <w:ilvl w:val="0"/>
          <w:numId w:val="2"/>
        </w:numPr>
        <w:spacing w:after="0" w:line="276" w:lineRule="auto"/>
        <w:jc w:val="both"/>
        <w:rPr>
          <w:rFonts w:ascii="Times New Roman" w:hAnsi="Times New Roman" w:cs="Times New Roman"/>
        </w:rPr>
      </w:pPr>
      <w:r w:rsidRPr="00913369">
        <w:rPr>
          <w:rFonts w:ascii="Times New Roman" w:hAnsi="Times New Roman" w:cs="Times New Roman"/>
        </w:rPr>
        <w:t>VIE : prestations et frais payés, bruts de réassurance, dont rachat.</w:t>
      </w:r>
    </w:p>
    <w:p w14:paraId="12C4CE00"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Frais d'acquisition et frais de gestion (et autres charges techniques) : frais totaux versés aux intermédiaires, dont les commissions.</w:t>
      </w:r>
    </w:p>
    <w:p w14:paraId="231F81AF"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Commissions aux intermédiaires : commissions versées aux intermédiaires.</w:t>
      </w:r>
    </w:p>
    <w:p w14:paraId="0ABEEC72"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Ratio de sinistralité : charge des prestations/montant des primes.</w:t>
      </w:r>
    </w:p>
    <w:p w14:paraId="59818B08"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Ratio combiné : (charges des prestations + frais d'acquisition + frais de gestion)/ primes acquises.</w:t>
      </w:r>
    </w:p>
    <w:p w14:paraId="59BFA5E5"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Résultat technique : uniquement pour les entreprises d'assurance visées par le 2° de l'article LP 310-2 (avec succursale).</w:t>
      </w:r>
    </w:p>
    <w:p w14:paraId="284C22ED"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Résultat net : uniquement pour les entreprises d'assurance visées par le 2° de l'article LP 310-2 (avec succursale).</w:t>
      </w:r>
    </w:p>
    <w:p w14:paraId="0BE4A4AF" w14:textId="77777777" w:rsidR="00F24BB4" w:rsidRPr="00913369" w:rsidRDefault="00F24BB4" w:rsidP="00F24BB4">
      <w:pPr>
        <w:spacing w:after="200" w:line="276" w:lineRule="auto"/>
        <w:jc w:val="both"/>
        <w:rPr>
          <w:rFonts w:ascii="Times New Roman" w:hAnsi="Times New Roman" w:cs="Times New Roman"/>
          <w:u w:val="single"/>
        </w:rPr>
      </w:pPr>
    </w:p>
    <w:p w14:paraId="5D8E8518" w14:textId="77777777" w:rsidR="00F24BB4" w:rsidRPr="00913369" w:rsidRDefault="00F24BB4" w:rsidP="00F24BB4">
      <w:pPr>
        <w:spacing w:after="200" w:line="276" w:lineRule="auto"/>
        <w:jc w:val="both"/>
        <w:rPr>
          <w:rFonts w:ascii="Times New Roman" w:hAnsi="Times New Roman" w:cs="Times New Roman"/>
          <w:u w:val="single"/>
        </w:rPr>
      </w:pPr>
      <w:r w:rsidRPr="00913369">
        <w:rPr>
          <w:rFonts w:ascii="Times New Roman" w:hAnsi="Times New Roman" w:cs="Times New Roman"/>
          <w:u w:val="single"/>
        </w:rPr>
        <w:t>L’état PF1 Vie et Mixte comporte les lignes suivantes :</w:t>
      </w:r>
    </w:p>
    <w:p w14:paraId="3F94DA69"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DOMMAGES CORPORELS</w:t>
      </w:r>
    </w:p>
    <w:p w14:paraId="4C8BCF2D" w14:textId="0205048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Dommages corporels (accident et maladie) individuels : catégorie 20 de l'article </w:t>
      </w:r>
      <w:bookmarkStart w:id="32" w:name="_Hlk177649952"/>
      <w:r w:rsidRPr="00913369">
        <w:rPr>
          <w:rFonts w:ascii="Times New Roman" w:hAnsi="Times New Roman" w:cs="Times New Roman"/>
        </w:rPr>
        <w:t>A. 334-1</w:t>
      </w:r>
      <w:bookmarkEnd w:id="32"/>
      <w:r w:rsidRPr="00913369">
        <w:rPr>
          <w:rFonts w:ascii="Times New Roman" w:hAnsi="Times New Roman" w:cs="Times New Roman"/>
        </w:rPr>
        <w:t>.</w:t>
      </w:r>
    </w:p>
    <w:p w14:paraId="2A97D3CE" w14:textId="186F5462"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Dommages corporels (accident et maladie) collectifs : catégorie 21 de l'article A. 334-1.</w:t>
      </w:r>
    </w:p>
    <w:p w14:paraId="1DA5533D"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Total dommages corporels.</w:t>
      </w:r>
    </w:p>
    <w:p w14:paraId="6A7716FC" w14:textId="77777777" w:rsidR="00F24BB4" w:rsidRPr="00913369" w:rsidRDefault="00F24BB4" w:rsidP="00F24BB4">
      <w:pPr>
        <w:spacing w:line="276" w:lineRule="auto"/>
        <w:jc w:val="both"/>
        <w:rPr>
          <w:rFonts w:ascii="Times New Roman" w:hAnsi="Times New Roman" w:cs="Times New Roman"/>
        </w:rPr>
      </w:pPr>
    </w:p>
    <w:p w14:paraId="75B9BADA"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ASSURANCE VIE</w:t>
      </w:r>
    </w:p>
    <w:p w14:paraId="71424051" w14:textId="158B691E"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Vie individuelle (et capitalisation) en francs ou euros : catégories 1, 2, 3, 4 et 5 de l'article DEL 334--1</w:t>
      </w:r>
      <w:r w:rsidRPr="00913369">
        <w:rPr>
          <w:rFonts w:ascii="Times New Roman" w:hAnsi="Times New Roman" w:cs="Times New Roman"/>
          <w:color w:val="000000" w:themeColor="text1"/>
        </w:rPr>
        <w:t>.</w:t>
      </w:r>
    </w:p>
    <w:p w14:paraId="15AA5ED6" w14:textId="329F88E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Vie individuelle (et capitalisation) en unités de compte : catégories 8 et 9 de l'article DEL 334-1.</w:t>
      </w:r>
    </w:p>
    <w:p w14:paraId="4404F183" w14:textId="204C4E9D"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 xml:space="preserve">Vie collective : catégories 6 et 7 de l'article DEL 334-1 </w:t>
      </w:r>
    </w:p>
    <w:p w14:paraId="0CB20A28" w14:textId="2D53D964"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Réassurance (vie) : catégorie 20 de l'article DEL 334-1.</w:t>
      </w:r>
    </w:p>
    <w:p w14:paraId="253C52A9"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Total assurance vie.</w:t>
      </w:r>
    </w:p>
    <w:p w14:paraId="163BE4BB" w14:textId="77777777" w:rsidR="00F24BB4" w:rsidRPr="00913369" w:rsidRDefault="00F24BB4" w:rsidP="00F24BB4">
      <w:pPr>
        <w:spacing w:line="276" w:lineRule="auto"/>
        <w:jc w:val="both"/>
        <w:rPr>
          <w:rFonts w:ascii="Times New Roman" w:hAnsi="Times New Roman" w:cs="Times New Roman"/>
        </w:rPr>
      </w:pPr>
    </w:p>
    <w:p w14:paraId="12C28A6A"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lastRenderedPageBreak/>
        <w:t>TOTAL VIE-MIXTE.</w:t>
      </w:r>
    </w:p>
    <w:p w14:paraId="06528DB1" w14:textId="77777777" w:rsidR="00F24BB4" w:rsidRPr="00913369" w:rsidRDefault="00F24BB4" w:rsidP="00F24BB4">
      <w:pPr>
        <w:numPr>
          <w:ilvl w:val="0"/>
          <w:numId w:val="3"/>
        </w:numPr>
        <w:spacing w:after="200" w:line="276" w:lineRule="auto"/>
        <w:rPr>
          <w:rFonts w:ascii="Times New Roman" w:hAnsi="Times New Roman" w:cs="Times New Roman"/>
        </w:rPr>
      </w:pPr>
      <w:r w:rsidRPr="00913369">
        <w:rPr>
          <w:rFonts w:ascii="Times New Roman" w:hAnsi="Times New Roman" w:cs="Times New Roman"/>
        </w:rPr>
        <w:t>Etat PF1 Non-Vie</w:t>
      </w:r>
    </w:p>
    <w:p w14:paraId="28127E8B" w14:textId="77777777" w:rsidR="00F24BB4" w:rsidRPr="00913369" w:rsidRDefault="00F24BB4" w:rsidP="00F24BB4">
      <w:pPr>
        <w:spacing w:after="200" w:line="276" w:lineRule="auto"/>
        <w:jc w:val="both"/>
        <w:rPr>
          <w:rFonts w:ascii="Times New Roman" w:hAnsi="Times New Roman" w:cs="Times New Roman"/>
          <w:u w:val="single"/>
        </w:rPr>
      </w:pPr>
      <w:r w:rsidRPr="00913369">
        <w:rPr>
          <w:rFonts w:ascii="Times New Roman" w:hAnsi="Times New Roman" w:cs="Times New Roman"/>
          <w:u w:val="single"/>
        </w:rPr>
        <w:t>L’état PF1 Non-Vie comporte les colonnes suivantes :</w:t>
      </w:r>
    </w:p>
    <w:p w14:paraId="688D59A9"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Nombre de contrats souscrits (NON-VIE) : nombre de polices souscrites dans l'année, y compris les renouvellements.</w:t>
      </w:r>
    </w:p>
    <w:p w14:paraId="11B586F5"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Montant des primes : primes émises, nettes d'annulations, brutes de réassurance (compte de résultat technique non-vie, compte de résultat technique vie).</w:t>
      </w:r>
    </w:p>
    <w:p w14:paraId="7C072151"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Nombre de déclarations de sinistres (NON-VIE) : nombre de sinistre déclarés dans l'année. Etat à la clôture de l'exercice comptable.</w:t>
      </w:r>
    </w:p>
    <w:p w14:paraId="38962919"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Nombre de dossiers de sinistres (NON-VIE) en cours : nombre de dossier de sinistre en cours de gestion à la clôture de l'exercice comptable.</w:t>
      </w:r>
    </w:p>
    <w:p w14:paraId="73B3638B"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Provisions techniques : au passif du bilan (y compris provisions des contrats en unités de compte), brutes de réassurance.</w:t>
      </w:r>
    </w:p>
    <w:p w14:paraId="43FEC5EE"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Sinistres (NON-VIE) payés : sinistres, frais payés et charge des provisions pour sinistres (compte technique non-vie), bruts de réassurance.</w:t>
      </w:r>
    </w:p>
    <w:p w14:paraId="1FFC0DCF"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Frais d'acquisition et frais de gestion (et autres charges techniques) : frais totaux versés aux intermédiaires, dont les commissions.</w:t>
      </w:r>
    </w:p>
    <w:p w14:paraId="23AA8994"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Commissions aux intermédiaires : commissions versées aux intermédiaires.</w:t>
      </w:r>
    </w:p>
    <w:p w14:paraId="606CC243"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Ratio de sinistralité : charge des prestations/montant des primes.</w:t>
      </w:r>
    </w:p>
    <w:p w14:paraId="476579D4" w14:textId="04C79225"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Ratio combiné : (charges des prestations + frais d'acquisition + frais de gestion)</w:t>
      </w:r>
      <w:r w:rsidR="00DD2A6E">
        <w:rPr>
          <w:rFonts w:ascii="Times New Roman" w:hAnsi="Times New Roman" w:cs="Times New Roman"/>
        </w:rPr>
        <w:t xml:space="preserve"> </w:t>
      </w:r>
      <w:r w:rsidRPr="00913369">
        <w:rPr>
          <w:rFonts w:ascii="Times New Roman" w:hAnsi="Times New Roman" w:cs="Times New Roman"/>
        </w:rPr>
        <w:t>/ primes acquises.</w:t>
      </w:r>
    </w:p>
    <w:p w14:paraId="1AFF8CAA"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Résultat technique : uniquement pour les entreprises d'assurance mentionnées au 2° du I de l'article LP 310-2 (avec succursale).</w:t>
      </w:r>
    </w:p>
    <w:p w14:paraId="58C416A5"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Résultat net : uniquement pour les entreprises d'assurance mentionnées au 2° du I de l'article LP 310-2 (avec succursale).</w:t>
      </w:r>
    </w:p>
    <w:p w14:paraId="75A59D51" w14:textId="77777777" w:rsidR="00F24BB4" w:rsidRPr="00913369" w:rsidRDefault="00F24BB4" w:rsidP="00F24BB4">
      <w:pPr>
        <w:spacing w:after="200" w:line="276" w:lineRule="auto"/>
        <w:jc w:val="both"/>
        <w:rPr>
          <w:rFonts w:ascii="Times New Roman" w:hAnsi="Times New Roman" w:cs="Times New Roman"/>
        </w:rPr>
      </w:pPr>
    </w:p>
    <w:p w14:paraId="6D912369" w14:textId="77777777" w:rsidR="00F24BB4" w:rsidRPr="00913369" w:rsidRDefault="00F24BB4" w:rsidP="00F24BB4">
      <w:pPr>
        <w:spacing w:after="200" w:line="276" w:lineRule="auto"/>
        <w:jc w:val="both"/>
        <w:rPr>
          <w:rFonts w:ascii="Times New Roman" w:hAnsi="Times New Roman" w:cs="Times New Roman"/>
          <w:u w:val="single"/>
        </w:rPr>
      </w:pPr>
      <w:r w:rsidRPr="00913369">
        <w:rPr>
          <w:rFonts w:ascii="Times New Roman" w:hAnsi="Times New Roman" w:cs="Times New Roman"/>
          <w:u w:val="single"/>
        </w:rPr>
        <w:t>L’état PF1 Non-Vie comporte les lignes suivantes :</w:t>
      </w:r>
    </w:p>
    <w:p w14:paraId="74085E10"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DOMMAGES CORPORELS</w:t>
      </w:r>
    </w:p>
    <w:p w14:paraId="000D93D0" w14:textId="773E4D7C"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 xml:space="preserve">Dommages corporels (accident et maladie) individuels : catégorie 20 de l'article </w:t>
      </w:r>
      <w:bookmarkStart w:id="33" w:name="_Hlk181289919"/>
      <w:r w:rsidRPr="00913369">
        <w:rPr>
          <w:rFonts w:ascii="Times New Roman" w:hAnsi="Times New Roman" w:cs="Times New Roman"/>
        </w:rPr>
        <w:t>A. 334-1</w:t>
      </w:r>
      <w:bookmarkEnd w:id="33"/>
      <w:r w:rsidRPr="00913369">
        <w:rPr>
          <w:rFonts w:ascii="Times New Roman" w:hAnsi="Times New Roman" w:cs="Times New Roman"/>
        </w:rPr>
        <w:t>.</w:t>
      </w:r>
    </w:p>
    <w:p w14:paraId="23EC39C1"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Dommages corporels (accident et maladie) collectifs : catégorie 21 de l'article A. 334-1.</w:t>
      </w:r>
    </w:p>
    <w:p w14:paraId="38705484"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Total dommages corporels.</w:t>
      </w:r>
    </w:p>
    <w:p w14:paraId="4867244B" w14:textId="77777777" w:rsidR="00F24BB4" w:rsidRPr="00913369" w:rsidRDefault="00F24BB4" w:rsidP="00F24BB4">
      <w:pPr>
        <w:spacing w:line="276" w:lineRule="auto"/>
        <w:ind w:left="284" w:hanging="284"/>
        <w:jc w:val="both"/>
        <w:rPr>
          <w:rFonts w:ascii="Times New Roman" w:hAnsi="Times New Roman" w:cs="Times New Roman"/>
        </w:rPr>
      </w:pPr>
    </w:p>
    <w:p w14:paraId="37E83101"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VEHICULES TERRESTRES</w:t>
      </w:r>
    </w:p>
    <w:p w14:paraId="61ACD272"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Véhicules terrestres (responsabilité civile) : catégorie 22 de l'article A. 334-1.</w:t>
      </w:r>
    </w:p>
    <w:p w14:paraId="3E124C83" w14:textId="2C2F8928"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lastRenderedPageBreak/>
        <w:t>Véhicules terrestres (autres garanties) : catégorie 23 de l'article A. 334-1.</w:t>
      </w:r>
    </w:p>
    <w:p w14:paraId="5F0E030C" w14:textId="77777777" w:rsidR="00F24BB4" w:rsidRPr="00913369" w:rsidRDefault="00F24BB4" w:rsidP="00F24BB4">
      <w:pPr>
        <w:spacing w:line="276" w:lineRule="auto"/>
        <w:ind w:left="284"/>
        <w:jc w:val="both"/>
        <w:rPr>
          <w:rFonts w:ascii="Times New Roman" w:hAnsi="Times New Roman" w:cs="Times New Roman"/>
        </w:rPr>
      </w:pPr>
      <w:r w:rsidRPr="00913369">
        <w:rPr>
          <w:rFonts w:ascii="Times New Roman" w:hAnsi="Times New Roman" w:cs="Times New Roman"/>
        </w:rPr>
        <w:t>Total automobile.</w:t>
      </w:r>
    </w:p>
    <w:p w14:paraId="3797CBCF" w14:textId="77777777" w:rsidR="00F24BB4" w:rsidRPr="00913369" w:rsidRDefault="00F24BB4" w:rsidP="00F24BB4">
      <w:pPr>
        <w:spacing w:line="276" w:lineRule="auto"/>
        <w:jc w:val="both"/>
        <w:rPr>
          <w:rFonts w:ascii="Times New Roman" w:hAnsi="Times New Roman" w:cs="Times New Roman"/>
        </w:rPr>
      </w:pPr>
    </w:p>
    <w:p w14:paraId="5572A5FB"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TRANSPORTS</w:t>
      </w:r>
    </w:p>
    <w:p w14:paraId="2A566999" w14:textId="36AD87CB"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Transports (responsabilité civile) : catégorie 34 de l'article A. 334-1.</w:t>
      </w:r>
    </w:p>
    <w:p w14:paraId="501DDD23" w14:textId="3A3F3C6E"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Transports (autres garanties) : catégorie 34 de l'article A. 334-1.</w:t>
      </w:r>
    </w:p>
    <w:p w14:paraId="24B9574A"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Total autres transports.</w:t>
      </w:r>
    </w:p>
    <w:p w14:paraId="755687F9" w14:textId="77777777" w:rsidR="00F24BB4" w:rsidRPr="00913369" w:rsidRDefault="00F24BB4" w:rsidP="00F24BB4">
      <w:pPr>
        <w:spacing w:line="276" w:lineRule="auto"/>
        <w:jc w:val="both"/>
        <w:rPr>
          <w:rFonts w:ascii="Times New Roman" w:hAnsi="Times New Roman" w:cs="Times New Roman"/>
        </w:rPr>
      </w:pPr>
    </w:p>
    <w:p w14:paraId="13AB5059"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DOMMAGES AUX BIENS</w:t>
      </w:r>
    </w:p>
    <w:p w14:paraId="2E362799" w14:textId="26FE1EF4"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Dommages aux biens des particuliers (y compris RC) : catégorie 24 de l'article A. 334-1.</w:t>
      </w:r>
    </w:p>
    <w:p w14:paraId="6E99D413" w14:textId="7DF64C0E"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Dommages aux biens professionnels (y compris RC) : catégorie 25 de l'article A. 334-1.</w:t>
      </w:r>
    </w:p>
    <w:p w14:paraId="1E69BF49" w14:textId="6CD0B7FC"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Dommages aux biens agricoles (y compris RC) : catégorie 26 de l'article A. 334-1.</w:t>
      </w:r>
    </w:p>
    <w:p w14:paraId="59DC1A07"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Total dommages aux biens.</w:t>
      </w:r>
    </w:p>
    <w:p w14:paraId="6BDF5575" w14:textId="77777777" w:rsidR="00F24BB4" w:rsidRPr="00913369" w:rsidRDefault="00F24BB4" w:rsidP="00F24BB4">
      <w:pPr>
        <w:spacing w:line="276" w:lineRule="auto"/>
        <w:jc w:val="both"/>
        <w:rPr>
          <w:rFonts w:ascii="Times New Roman" w:hAnsi="Times New Roman" w:cs="Times New Roman"/>
        </w:rPr>
      </w:pPr>
    </w:p>
    <w:p w14:paraId="71DE5E50"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CONSTRUCTION</w:t>
      </w:r>
    </w:p>
    <w:p w14:paraId="7AD52A28" w14:textId="11AA49FD"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Assurance construction (responsabilité civile) : catégorie 36 de l'article A. 334-1.</w:t>
      </w:r>
    </w:p>
    <w:p w14:paraId="5EBF2D8D" w14:textId="4CE5271B"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Assurance construction (autres garanties dont dommages) : catégorie 35 de l'article A. 334-1.</w:t>
      </w:r>
    </w:p>
    <w:p w14:paraId="67435F26"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Total construction.</w:t>
      </w:r>
    </w:p>
    <w:p w14:paraId="1EA62859" w14:textId="77777777" w:rsidR="00F24BB4" w:rsidRPr="00913369" w:rsidRDefault="00F24BB4" w:rsidP="00F24BB4">
      <w:pPr>
        <w:spacing w:line="276" w:lineRule="auto"/>
        <w:jc w:val="both"/>
        <w:rPr>
          <w:rFonts w:ascii="Times New Roman" w:hAnsi="Times New Roman" w:cs="Times New Roman"/>
        </w:rPr>
      </w:pPr>
    </w:p>
    <w:p w14:paraId="67669541"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RESPONSABILITE CIVILE GENERALE</w:t>
      </w:r>
    </w:p>
    <w:p w14:paraId="6578BDEC"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Responsabilité civile professionnelle : catégorie 28 de l'article A. 334-1, hors dommages aux biens.</w:t>
      </w:r>
    </w:p>
    <w:p w14:paraId="641AE25F"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Responsabilité civile particulier : catégorie 28 de l'article A. 334-1, hors dommages aux biens.</w:t>
      </w:r>
    </w:p>
    <w:p w14:paraId="766B35F8" w14:textId="77777777"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Total responsabilité civile.</w:t>
      </w:r>
    </w:p>
    <w:p w14:paraId="0A0254AC" w14:textId="77777777" w:rsidR="00F24BB4" w:rsidRPr="00913369" w:rsidRDefault="00F24BB4" w:rsidP="00F24BB4">
      <w:pPr>
        <w:spacing w:line="276" w:lineRule="auto"/>
        <w:jc w:val="both"/>
        <w:rPr>
          <w:rFonts w:ascii="Times New Roman" w:hAnsi="Times New Roman" w:cs="Times New Roman"/>
        </w:rPr>
      </w:pPr>
    </w:p>
    <w:p w14:paraId="1676FB6A"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AUTRES</w:t>
      </w:r>
    </w:p>
    <w:p w14:paraId="6D97DC6F" w14:textId="1E2F24FA"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Crédit – Caution : catégories 37 et 38 de l'article A. 334-1.</w:t>
      </w:r>
    </w:p>
    <w:p w14:paraId="75F080BD" w14:textId="2631F5C4"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Pertes pécuniaires diverses : catégorie 31 de l'article A. 334-1.</w:t>
      </w:r>
    </w:p>
    <w:p w14:paraId="2687BA96" w14:textId="65AE1DB8"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Protection juridique : catégorie 29 de l'article A. 334-1.</w:t>
      </w:r>
    </w:p>
    <w:p w14:paraId="400DE3EF" w14:textId="63B6FA8D"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Assistance : catégorie 30 de l'article A. 334-1.</w:t>
      </w:r>
    </w:p>
    <w:p w14:paraId="6FEE20B0" w14:textId="7DB6E3D6" w:rsidR="00F24BB4" w:rsidRPr="00913369" w:rsidRDefault="00F24BB4" w:rsidP="00F24BB4">
      <w:pPr>
        <w:spacing w:line="276" w:lineRule="auto"/>
        <w:ind w:firstLine="284"/>
        <w:jc w:val="both"/>
        <w:rPr>
          <w:rFonts w:ascii="Times New Roman" w:hAnsi="Times New Roman" w:cs="Times New Roman"/>
        </w:rPr>
      </w:pPr>
      <w:r w:rsidRPr="00913369">
        <w:rPr>
          <w:rFonts w:ascii="Times New Roman" w:hAnsi="Times New Roman" w:cs="Times New Roman"/>
        </w:rPr>
        <w:t>Réassurance (non-vie) : catégorie 39 de l'article A. 334-1.</w:t>
      </w:r>
    </w:p>
    <w:p w14:paraId="424E1D59" w14:textId="77777777" w:rsidR="00DD2A6E" w:rsidRDefault="00DD2A6E" w:rsidP="00F24BB4">
      <w:pPr>
        <w:spacing w:line="276" w:lineRule="auto"/>
        <w:jc w:val="both"/>
        <w:rPr>
          <w:rFonts w:ascii="Times New Roman" w:hAnsi="Times New Roman" w:cs="Times New Roman"/>
        </w:rPr>
      </w:pPr>
    </w:p>
    <w:p w14:paraId="5CEA1CD8" w14:textId="6C4F892B"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lastRenderedPageBreak/>
        <w:t>TOTAL NON-VIE</w:t>
      </w:r>
    </w:p>
    <w:p w14:paraId="1C618128" w14:textId="77777777" w:rsidR="00F24BB4" w:rsidRPr="00913369" w:rsidRDefault="00F24BB4" w:rsidP="00F24BB4">
      <w:pPr>
        <w:spacing w:after="200" w:line="276" w:lineRule="auto"/>
        <w:jc w:val="center"/>
        <w:rPr>
          <w:rFonts w:ascii="Times New Roman" w:hAnsi="Times New Roman" w:cs="Times New Roman"/>
          <w:b/>
          <w:sz w:val="28"/>
          <w:szCs w:val="28"/>
        </w:rPr>
      </w:pPr>
      <w:r w:rsidRPr="00913369">
        <w:rPr>
          <w:rFonts w:ascii="Times New Roman" w:hAnsi="Times New Roman" w:cs="Times New Roman"/>
        </w:rPr>
        <w:br w:type="page"/>
      </w:r>
      <w:r w:rsidRPr="00913369">
        <w:rPr>
          <w:rFonts w:ascii="Times New Roman" w:hAnsi="Times New Roman" w:cs="Times New Roman"/>
          <w:b/>
          <w:sz w:val="28"/>
          <w:szCs w:val="28"/>
        </w:rPr>
        <w:lastRenderedPageBreak/>
        <w:t>Annexe 3-5</w:t>
      </w:r>
    </w:p>
    <w:p w14:paraId="3F30E1CF" w14:textId="77777777" w:rsidR="00F24BB4" w:rsidRPr="00913369" w:rsidRDefault="00F24BB4" w:rsidP="00FE2714">
      <w:pPr>
        <w:rPr>
          <w:rFonts w:ascii="Times New Roman" w:hAnsi="Times New Roman" w:cs="Times New Roman"/>
          <w:i/>
          <w:sz w:val="24"/>
          <w:szCs w:val="24"/>
        </w:rPr>
      </w:pPr>
    </w:p>
    <w:p w14:paraId="51538735" w14:textId="77777777" w:rsidR="00F24BB4" w:rsidRPr="00913369" w:rsidRDefault="00F24BB4" w:rsidP="00F24BB4">
      <w:pPr>
        <w:spacing w:after="200" w:line="276" w:lineRule="auto"/>
        <w:jc w:val="center"/>
        <w:rPr>
          <w:rFonts w:ascii="Times New Roman" w:hAnsi="Times New Roman" w:cs="Times New Roman"/>
          <w:b/>
        </w:rPr>
      </w:pPr>
      <w:r w:rsidRPr="00913369">
        <w:rPr>
          <w:rFonts w:ascii="Times New Roman" w:hAnsi="Times New Roman" w:cs="Times New Roman"/>
          <w:b/>
        </w:rPr>
        <w:t>Etat PF 2 : Compte-rendu semestriel d’exécution du programme d’activité</w:t>
      </w:r>
    </w:p>
    <w:p w14:paraId="0C76E143"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Les entreprises visées à l’article DEL 321-6 du code des assurances applicable en Polynésie française établissent, selon le modèle fixé ci-après, un compte-rendu semestriel d’exécution de leur programme d’activité.</w:t>
      </w:r>
    </w:p>
    <w:p w14:paraId="3E15FF6D" w14:textId="49C8BA5F"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Les montants doivent être exprimés en F CFP.</w:t>
      </w:r>
    </w:p>
    <w:p w14:paraId="6CF4D847" w14:textId="77777777" w:rsidR="00F24BB4" w:rsidRPr="00913369" w:rsidRDefault="00F24BB4" w:rsidP="00F24BB4">
      <w:pPr>
        <w:spacing w:line="276" w:lineRule="auto"/>
        <w:jc w:val="both"/>
        <w:rPr>
          <w:rFonts w:ascii="Times New Roman" w:hAnsi="Times New Roman" w:cs="Times New Roman"/>
        </w:rPr>
      </w:pPr>
    </w:p>
    <w:p w14:paraId="081A1A47"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I. Les renseignements généraux du compte-rendu semestriel d’exécution du programme d’activité à produire à la Polynésie française par ces entreprises sont les suivants : </w:t>
      </w:r>
    </w:p>
    <w:p w14:paraId="6C6EBA48"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a) la raison sociale de l'entreprise, son adresse et si l’entreprise est considérée comme disposant d’une succursale en Polynésie française conformément au code des assurances applicable en Polynésie française ; </w:t>
      </w:r>
    </w:p>
    <w:p w14:paraId="6EED479A"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b) la liste des branches pour lesquelles l’entreprise est agréée en Polynésie française ;</w:t>
      </w:r>
    </w:p>
    <w:p w14:paraId="1FE0CB12"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c) la liste des branches pratiquées en Polynésie française ; </w:t>
      </w:r>
    </w:p>
    <w:p w14:paraId="0DDB2937"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d) l’année et le semestre concernés par l’état complété.</w:t>
      </w:r>
    </w:p>
    <w:p w14:paraId="2BC8D4E2" w14:textId="77777777" w:rsidR="00F24BB4" w:rsidRPr="00913369" w:rsidRDefault="00F24BB4" w:rsidP="00F24BB4">
      <w:pPr>
        <w:spacing w:line="276" w:lineRule="auto"/>
        <w:jc w:val="both"/>
        <w:rPr>
          <w:rFonts w:ascii="Times New Roman" w:hAnsi="Times New Roman" w:cs="Times New Roman"/>
        </w:rPr>
      </w:pPr>
    </w:p>
    <w:p w14:paraId="529BBAE4"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II. Un rapport écrit rappelant le programme relatif à l’activité envisagée tel que décrit à l’annexe 3-2 du présent code et expliquant les éventuelles différences observées entre les éléments de ce programme et l’activité effective de l’entreprise.</w:t>
      </w:r>
    </w:p>
    <w:p w14:paraId="2382CC78" w14:textId="7469336C" w:rsidR="00F24BB4" w:rsidRPr="00913369" w:rsidRDefault="00F24BB4" w:rsidP="00F24BB4">
      <w:pPr>
        <w:rPr>
          <w:rFonts w:ascii="Times New Roman" w:hAnsi="Times New Roman" w:cs="Times New Roman"/>
          <w:sz w:val="24"/>
        </w:rPr>
      </w:pPr>
      <w:r w:rsidRPr="00913369">
        <w:rPr>
          <w:rFonts w:ascii="Times New Roman" w:hAnsi="Times New Roman" w:cs="Times New Roman"/>
          <w:sz w:val="24"/>
        </w:rPr>
        <w:br w:type="page"/>
      </w:r>
    </w:p>
    <w:p w14:paraId="6BEAEE49" w14:textId="77777777" w:rsidR="00F24BB4" w:rsidRPr="00913369" w:rsidRDefault="00F24BB4" w:rsidP="00F24BB4">
      <w:pPr>
        <w:jc w:val="center"/>
        <w:rPr>
          <w:rFonts w:ascii="Times New Roman" w:hAnsi="Times New Roman" w:cs="Times New Roman"/>
          <w:b/>
          <w:sz w:val="28"/>
          <w:szCs w:val="28"/>
        </w:rPr>
      </w:pPr>
      <w:r w:rsidRPr="00913369">
        <w:rPr>
          <w:rFonts w:ascii="Times New Roman" w:hAnsi="Times New Roman" w:cs="Times New Roman"/>
          <w:b/>
          <w:sz w:val="28"/>
          <w:szCs w:val="28"/>
        </w:rPr>
        <w:lastRenderedPageBreak/>
        <w:t>Annexe 3-6</w:t>
      </w:r>
    </w:p>
    <w:p w14:paraId="2EC4466E" w14:textId="77777777" w:rsidR="00F24BB4" w:rsidRPr="00913369" w:rsidRDefault="00F24BB4" w:rsidP="00F24BB4">
      <w:pPr>
        <w:tabs>
          <w:tab w:val="right" w:pos="142"/>
        </w:tabs>
        <w:rPr>
          <w:rFonts w:ascii="Times New Roman" w:hAnsi="Times New Roman" w:cs="Times New Roman"/>
          <w:b/>
          <w:sz w:val="28"/>
          <w:szCs w:val="28"/>
        </w:rPr>
      </w:pPr>
    </w:p>
    <w:p w14:paraId="3ACEB09E"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Ce formulaire est à renseigner en cas de demande de dérogation prévue à l’article LP. 310-6.</w:t>
      </w:r>
    </w:p>
    <w:p w14:paraId="265A8241" w14:textId="34A29C9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Pour être considéré comme complet, le dossier doit comporter un exemplaire daté et signé du présent formulaire et les documents suivants :</w:t>
      </w:r>
    </w:p>
    <w:p w14:paraId="7943BDD1" w14:textId="77777777" w:rsidR="00F24BB4" w:rsidRPr="00913369" w:rsidRDefault="00F24BB4" w:rsidP="00F24BB4">
      <w:pPr>
        <w:spacing w:line="276" w:lineRule="auto"/>
        <w:jc w:val="both"/>
        <w:rPr>
          <w:rFonts w:ascii="Times New Roman" w:hAnsi="Times New Roman" w:cs="Times New Roman"/>
        </w:rPr>
      </w:pPr>
    </w:p>
    <w:p w14:paraId="36D602B2" w14:textId="77777777" w:rsidR="00F24BB4" w:rsidRPr="00913369" w:rsidRDefault="00F24BB4" w:rsidP="00F24BB4">
      <w:pPr>
        <w:spacing w:line="276" w:lineRule="auto"/>
        <w:jc w:val="both"/>
        <w:rPr>
          <w:rFonts w:ascii="Times New Roman" w:hAnsi="Times New Roman" w:cs="Times New Roman"/>
          <w:b/>
        </w:rPr>
      </w:pPr>
      <w:r w:rsidRPr="00913369">
        <w:rPr>
          <w:rFonts w:ascii="Times New Roman" w:hAnsi="Times New Roman" w:cs="Times New Roman"/>
          <w:b/>
        </w:rPr>
        <w:t>Désignation du souscripteur du contrat sollicitant la dérogation</w:t>
      </w:r>
    </w:p>
    <w:p w14:paraId="4B324599"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Dénomination sociale :</w:t>
      </w:r>
    </w:p>
    <w:p w14:paraId="62A4DDBD"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Numéro TAHITI (ou numéro d’identification au RCS) :</w:t>
      </w:r>
    </w:p>
    <w:p w14:paraId="69DB8FB9"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Activités principales :</w:t>
      </w:r>
    </w:p>
    <w:p w14:paraId="272593E9" w14:textId="77777777" w:rsidR="00F24BB4" w:rsidRPr="00913369" w:rsidRDefault="00F24BB4" w:rsidP="00F24BB4">
      <w:pPr>
        <w:spacing w:line="276" w:lineRule="auto"/>
        <w:jc w:val="both"/>
        <w:rPr>
          <w:rFonts w:ascii="Times New Roman" w:hAnsi="Times New Roman" w:cs="Times New Roman"/>
        </w:rPr>
      </w:pPr>
    </w:p>
    <w:p w14:paraId="67A8141B" w14:textId="77777777" w:rsidR="00F24BB4" w:rsidRPr="00913369" w:rsidRDefault="00F24BB4" w:rsidP="00F24BB4">
      <w:pPr>
        <w:spacing w:line="276" w:lineRule="auto"/>
        <w:jc w:val="both"/>
        <w:rPr>
          <w:rFonts w:ascii="Times New Roman" w:hAnsi="Times New Roman" w:cs="Times New Roman"/>
          <w:b/>
        </w:rPr>
      </w:pPr>
      <w:r w:rsidRPr="00913369">
        <w:rPr>
          <w:rFonts w:ascii="Times New Roman" w:hAnsi="Times New Roman" w:cs="Times New Roman"/>
          <w:b/>
        </w:rPr>
        <w:t>Le cas échéant, désignation du demandeur agissant pour le compte du souscripteur :</w:t>
      </w:r>
    </w:p>
    <w:p w14:paraId="36182E12"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Dénomination sociale :</w:t>
      </w:r>
    </w:p>
    <w:p w14:paraId="58AC2F58"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Numéro TAHITI (ou numéro d’identification au RCS) : </w:t>
      </w:r>
    </w:p>
    <w:p w14:paraId="60A135C2"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Le cas échéant, N° d’immatriculation de l’intermédiaire d’assurance :</w:t>
      </w:r>
    </w:p>
    <w:p w14:paraId="239837CF" w14:textId="77777777" w:rsidR="00F24BB4" w:rsidRPr="00913369" w:rsidRDefault="00F24BB4" w:rsidP="00F24BB4">
      <w:pPr>
        <w:spacing w:line="276" w:lineRule="auto"/>
        <w:jc w:val="both"/>
        <w:rPr>
          <w:rFonts w:ascii="Times New Roman" w:hAnsi="Times New Roman" w:cs="Times New Roman"/>
        </w:rPr>
      </w:pPr>
    </w:p>
    <w:p w14:paraId="21A1BBFF" w14:textId="77777777" w:rsidR="00F24BB4" w:rsidRPr="00913369" w:rsidRDefault="00F24BB4" w:rsidP="00F24BB4">
      <w:pPr>
        <w:spacing w:line="276" w:lineRule="auto"/>
        <w:jc w:val="both"/>
        <w:rPr>
          <w:rFonts w:ascii="Times New Roman" w:hAnsi="Times New Roman" w:cs="Times New Roman"/>
          <w:b/>
        </w:rPr>
      </w:pPr>
      <w:r w:rsidRPr="00913369">
        <w:rPr>
          <w:rFonts w:ascii="Times New Roman" w:hAnsi="Times New Roman" w:cs="Times New Roman"/>
          <w:b/>
        </w:rPr>
        <w:t>Description du risque à assurer</w:t>
      </w:r>
    </w:p>
    <w:p w14:paraId="54B5D72A"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Risque à assurer :</w:t>
      </w:r>
    </w:p>
    <w:p w14:paraId="5F0C4291"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Garanties demandées :</w:t>
      </w:r>
    </w:p>
    <w:p w14:paraId="7462AC7C"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Fournir les éléments justifiant qu’aucune couverture d’assurance n’a pu être obtenue auprès des entreprises d’assurance agréées (preuves de refus d’assurance…).</w:t>
      </w:r>
    </w:p>
    <w:p w14:paraId="087FFBE6" w14:textId="77777777" w:rsidR="00F24BB4" w:rsidRPr="00913369" w:rsidRDefault="00F24BB4" w:rsidP="00F24BB4">
      <w:pPr>
        <w:spacing w:line="276" w:lineRule="auto"/>
        <w:jc w:val="both"/>
        <w:rPr>
          <w:rFonts w:ascii="Times New Roman" w:hAnsi="Times New Roman" w:cs="Times New Roman"/>
        </w:rPr>
      </w:pPr>
    </w:p>
    <w:p w14:paraId="30EF5AEE" w14:textId="77777777" w:rsidR="00F24BB4" w:rsidRPr="00913369" w:rsidRDefault="00F24BB4" w:rsidP="00F24BB4">
      <w:pPr>
        <w:spacing w:line="276" w:lineRule="auto"/>
        <w:jc w:val="both"/>
        <w:rPr>
          <w:rFonts w:ascii="Times New Roman" w:hAnsi="Times New Roman" w:cs="Times New Roman"/>
          <w:b/>
        </w:rPr>
      </w:pPr>
      <w:r w:rsidRPr="00913369">
        <w:rPr>
          <w:rFonts w:ascii="Times New Roman" w:hAnsi="Times New Roman" w:cs="Times New Roman"/>
          <w:b/>
        </w:rPr>
        <w:t>Entreprise d’assurance pressentie pour l’assurance du risque</w:t>
      </w:r>
    </w:p>
    <w:p w14:paraId="69803506"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Dénomination sociale :</w:t>
      </w:r>
    </w:p>
    <w:p w14:paraId="767F1BD7"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Adresse du siège social :</w:t>
      </w:r>
    </w:p>
    <w:p w14:paraId="055C0032"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Durée de la dérogation sollicitée (dans la limite de trois ans) : </w:t>
      </w:r>
    </w:p>
    <w:p w14:paraId="35801FA8"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xml:space="preserve">Fournir : </w:t>
      </w:r>
    </w:p>
    <w:p w14:paraId="0F4B514B"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un certificat de solvabilité délivré par l’autorité de contrôle de son siège social ;</w:t>
      </w:r>
    </w:p>
    <w:p w14:paraId="577A54E1" w14:textId="77777777" w:rsidR="00F24BB4" w:rsidRPr="00913369" w:rsidRDefault="00F24BB4" w:rsidP="00F24BB4">
      <w:pPr>
        <w:spacing w:line="276" w:lineRule="auto"/>
        <w:jc w:val="both"/>
        <w:rPr>
          <w:rFonts w:ascii="Times New Roman" w:hAnsi="Times New Roman" w:cs="Times New Roman"/>
        </w:rPr>
      </w:pPr>
      <w:r w:rsidRPr="00913369">
        <w:rPr>
          <w:rFonts w:ascii="Times New Roman" w:hAnsi="Times New Roman" w:cs="Times New Roman"/>
        </w:rPr>
        <w:t>- la proposition d’assurance de l’entreprise d’assurance non agréée pressentie.</w:t>
      </w:r>
    </w:p>
    <w:p w14:paraId="0B172325" w14:textId="77777777" w:rsidR="00F24BB4" w:rsidRPr="00913369" w:rsidRDefault="00F24BB4" w:rsidP="00F24BB4">
      <w:pPr>
        <w:rPr>
          <w:rFonts w:ascii="Times New Roman" w:hAnsi="Times New Roman" w:cs="Times New Roman"/>
        </w:rPr>
      </w:pPr>
      <w:r w:rsidRPr="00913369">
        <w:rPr>
          <w:rFonts w:ascii="Times New Roman" w:hAnsi="Times New Roman" w:cs="Times New Roman"/>
        </w:rPr>
        <w:br w:type="page"/>
      </w:r>
    </w:p>
    <w:p w14:paraId="11ABE908" w14:textId="77777777" w:rsidR="00F24BB4" w:rsidRPr="00913369" w:rsidRDefault="00F24BB4" w:rsidP="00F24BB4">
      <w:pPr>
        <w:spacing w:line="276" w:lineRule="auto"/>
        <w:jc w:val="both"/>
        <w:rPr>
          <w:rFonts w:ascii="Times New Roman" w:hAnsi="Times New Roman" w:cs="Times New Roman"/>
        </w:rPr>
      </w:pPr>
    </w:p>
    <w:p w14:paraId="0B17A04A"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rPr>
          <w:rFonts w:ascii="Times New Roman" w:eastAsia="Calibri" w:hAnsi="Times New Roman" w:cs="Times New Roman"/>
        </w:rPr>
      </w:pPr>
      <w:r w:rsidRPr="00913369">
        <w:rPr>
          <w:rFonts w:ascii="Times New Roman" w:eastAsia="Calibri" w:hAnsi="Times New Roman" w:cs="Times New Roman"/>
        </w:rPr>
        <w:t xml:space="preserve">Les données à caractère personnel collectées par la Direction générale des Affaires économiques (DGAE), directement auprès de vous et indirectement auprès de l’intermédiaire d’assurance qui a collecté les données en premier lieu font l'objet d'un traitement ayant pour finalité le traitement </w:t>
      </w:r>
      <w:r w:rsidRPr="00913369">
        <w:rPr>
          <w:rFonts w:ascii="Times New Roman" w:hAnsi="Times New Roman" w:cs="Times New Roman"/>
        </w:rPr>
        <w:t>des demandes de dérogation prévues à l’article LP. 310-6 du code des assurances applicable en Polynésie française.</w:t>
      </w:r>
    </w:p>
    <w:p w14:paraId="246CFC32"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jc w:val="both"/>
        <w:rPr>
          <w:rFonts w:ascii="Times New Roman" w:eastAsia="Calibri" w:hAnsi="Times New Roman" w:cs="Times New Roman"/>
        </w:rPr>
      </w:pPr>
      <w:r w:rsidRPr="00913369">
        <w:rPr>
          <w:rFonts w:ascii="Times New Roman" w:eastAsia="Calibri" w:hAnsi="Times New Roman" w:cs="Times New Roman"/>
        </w:rPr>
        <w:t>Ce traitement est fondé sur la mission d’intérêt public de la DGAE, en matière économique. Il s’inscrit dans le cadre de la mise en œuvre de l’article LP 310-6 et A 310-6 du code des assurances.</w:t>
      </w:r>
    </w:p>
    <w:p w14:paraId="0413BE51"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jc w:val="both"/>
        <w:rPr>
          <w:rFonts w:ascii="Times New Roman" w:eastAsia="Calibri" w:hAnsi="Times New Roman" w:cs="Times New Roman"/>
        </w:rPr>
      </w:pPr>
      <w:r w:rsidRPr="00913369">
        <w:rPr>
          <w:rFonts w:ascii="Times New Roman" w:eastAsia="Calibri" w:hAnsi="Times New Roman" w:cs="Times New Roman"/>
        </w:rPr>
        <w:t xml:space="preserve">Les données indiquées dans le présent formulaire sont, à ce titre, obligatoires. A défaut la DGAE ne pourra satisfaire à votre demande. Elles sont à destination de la cellule Activités et professions réglementées de la DGAE conformément à l’arrêté n° 1036 CM du 21 juillet 2011 modifié portant création, organisation et fonctionnement du service administratif dénommé « Direction générale des Affaires économiques ». </w:t>
      </w:r>
    </w:p>
    <w:p w14:paraId="0478ED17"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jc w:val="both"/>
        <w:rPr>
          <w:rFonts w:ascii="Times New Roman" w:eastAsia="Calibri" w:hAnsi="Times New Roman" w:cs="Times New Roman"/>
        </w:rPr>
      </w:pPr>
      <w:r w:rsidRPr="00913369">
        <w:rPr>
          <w:rFonts w:ascii="Times New Roman" w:eastAsia="Calibri" w:hAnsi="Times New Roman" w:cs="Times New Roman"/>
        </w:rPr>
        <w:t>Elles sont conservées pendant toute votre activité puis 6 ans à compter de la cessation d’activité du demandeur.</w:t>
      </w:r>
    </w:p>
    <w:p w14:paraId="2E2C3FA8"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jc w:val="both"/>
        <w:rPr>
          <w:rFonts w:ascii="Times New Roman" w:eastAsia="Calibri" w:hAnsi="Times New Roman" w:cs="Times New Roman"/>
        </w:rPr>
      </w:pPr>
      <w:r w:rsidRPr="00913369">
        <w:rPr>
          <w:rFonts w:ascii="Times New Roman" w:eastAsia="Calibri" w:hAnsi="Times New Roman" w:cs="Times New Roman"/>
        </w:rPr>
        <w:t xml:space="preserve">Conformément à la loi informatique et libertés n° 78-17 du 6 janvier 1978 modifiée, vous disposez des droits suivants sur vos données : droit d'accès, droit de rectification, droit à l'effacement, droit d'opposition, droit à la limitation du traitement, que vous pouvez exercer, en justifiant de votre identité, aux adresses suivantes : Direction générale des Affaires économiques BP 82 – 98 713 Papeete TAHITI Tél. : (+689) 40 50 97 97 Fax : (+689) 40 50 97 79 Courriel : secretariat.dgae@administration.gov.pf </w:t>
      </w:r>
    </w:p>
    <w:p w14:paraId="7292E1A0"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jc w:val="both"/>
        <w:rPr>
          <w:rFonts w:ascii="Times New Roman" w:eastAsia="Calibri" w:hAnsi="Times New Roman" w:cs="Times New Roman"/>
        </w:rPr>
      </w:pPr>
      <w:r w:rsidRPr="00913369">
        <w:rPr>
          <w:rFonts w:ascii="Times New Roman" w:eastAsia="Calibri" w:hAnsi="Times New Roman" w:cs="Times New Roman"/>
        </w:rPr>
        <w:t xml:space="preserve">Pour des questions sur vos données, vous pouvez contacter la Déléguée à la Protection des Données aux adresses suivantes : DPO, à la Direction du système d’Information de la Polynésie française (DSI), BP 4574 98 713 Papeete </w:t>
      </w:r>
    </w:p>
    <w:p w14:paraId="07E6AFEA"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jc w:val="both"/>
        <w:rPr>
          <w:rFonts w:ascii="Times New Roman" w:eastAsia="Calibri" w:hAnsi="Times New Roman" w:cs="Times New Roman"/>
        </w:rPr>
      </w:pPr>
      <w:r w:rsidRPr="00913369">
        <w:rPr>
          <w:rFonts w:ascii="Times New Roman" w:eastAsia="Calibri" w:hAnsi="Times New Roman" w:cs="Times New Roman"/>
        </w:rPr>
        <w:t xml:space="preserve"> Courriel: dpo@administration.gov.pf </w:t>
      </w:r>
    </w:p>
    <w:p w14:paraId="37F74FFE" w14:textId="77777777" w:rsidR="00F24BB4" w:rsidRPr="00913369" w:rsidRDefault="00F24BB4" w:rsidP="00F24BB4">
      <w:pPr>
        <w:pBdr>
          <w:top w:val="single" w:sz="4" w:space="1" w:color="auto"/>
          <w:left w:val="single" w:sz="4" w:space="4" w:color="auto"/>
          <w:bottom w:val="single" w:sz="4" w:space="1" w:color="auto"/>
          <w:right w:val="single" w:sz="4" w:space="4" w:color="auto"/>
        </w:pBdr>
        <w:spacing w:after="200" w:line="276" w:lineRule="auto"/>
        <w:jc w:val="both"/>
        <w:rPr>
          <w:rFonts w:ascii="Times New Roman" w:eastAsia="Calibri" w:hAnsi="Times New Roman" w:cs="Times New Roman"/>
        </w:rPr>
      </w:pPr>
      <w:r w:rsidRPr="00913369">
        <w:rPr>
          <w:rFonts w:ascii="Times New Roman" w:eastAsia="Calibri" w:hAnsi="Times New Roman" w:cs="Times New Roman"/>
        </w:rPr>
        <w:t>Vous pouvez également introduire une réclamation auprès de la CNIL www.cnil.fr, si vous estimez que vos droits n'ont pas été respectés.</w:t>
      </w:r>
    </w:p>
    <w:p w14:paraId="25C48EA7" w14:textId="77777777" w:rsidR="00F24BB4" w:rsidRPr="00913369" w:rsidRDefault="00F24BB4" w:rsidP="00F24BB4">
      <w:pPr>
        <w:spacing w:line="276" w:lineRule="auto"/>
        <w:jc w:val="both"/>
        <w:rPr>
          <w:rFonts w:ascii="Times New Roman" w:hAnsi="Times New Roman" w:cs="Times New Roman"/>
        </w:rPr>
      </w:pPr>
    </w:p>
    <w:p w14:paraId="00A16C2C" w14:textId="00E91D0D" w:rsidR="00926999" w:rsidRDefault="00926999">
      <w:pPr>
        <w:rPr>
          <w:rFonts w:ascii="Times New Roman" w:hAnsi="Times New Roman" w:cs="Times New Roman"/>
        </w:rPr>
      </w:pPr>
      <w:r>
        <w:rPr>
          <w:rFonts w:ascii="Times New Roman" w:hAnsi="Times New Roman" w:cs="Times New Roman"/>
        </w:rPr>
        <w:br w:type="page"/>
      </w:r>
    </w:p>
    <w:p w14:paraId="11CEB9F1" w14:textId="77777777" w:rsidR="00926999" w:rsidRPr="008A157C" w:rsidRDefault="00926999" w:rsidP="00926999">
      <w:pPr>
        <w:jc w:val="center"/>
        <w:rPr>
          <w:rFonts w:ascii="Times New Roman" w:hAnsi="Times New Roman" w:cs="Times New Roman"/>
          <w:b/>
          <w:sz w:val="28"/>
          <w:szCs w:val="28"/>
        </w:rPr>
      </w:pPr>
      <w:r w:rsidRPr="008A157C">
        <w:rPr>
          <w:rFonts w:ascii="Times New Roman" w:hAnsi="Times New Roman" w:cs="Times New Roman"/>
          <w:b/>
          <w:sz w:val="28"/>
          <w:szCs w:val="28"/>
        </w:rPr>
        <w:lastRenderedPageBreak/>
        <w:t>Annexe 5-1. (Article A. 511-2)</w:t>
      </w:r>
    </w:p>
    <w:p w14:paraId="42C01D84" w14:textId="77777777" w:rsidR="00926999" w:rsidRDefault="00926999" w:rsidP="00926999">
      <w:pPr>
        <w:pStyle w:val="NormalWeb"/>
        <w:jc w:val="both"/>
      </w:pPr>
      <w:r>
        <w:t>I.- Les actions de formation ou de développement professionnel continus portent sur un ou plusieurs ensembles de compétences générales ou spécifiques mentionnés au II ci-dessous. Afin de répondre aux exigences de formation mentionnées au II de l’article LP 511-5 les compétences spécifiques sont adaptées à la personne concernée en fonction de la nature des produits qu’elle distribue, des modes de distribution auxquels elle recoure et des fonctions qu’elle exerce. Les actions de formation permettent d’actualiser régulièrement les compétences générales ou spécifiques au poste occupé par la personne concernée, notamment celles relatives à la connaissance des évolutions de la réglementation relative à la distribution d’assurances.</w:t>
      </w:r>
    </w:p>
    <w:p w14:paraId="5F3933AB" w14:textId="77777777" w:rsidR="00926999" w:rsidRDefault="00926999" w:rsidP="00926999">
      <w:pPr>
        <w:pStyle w:val="NormalWeb"/>
        <w:jc w:val="both"/>
      </w:pPr>
      <w:r>
        <w:t xml:space="preserve">II.- En application du II de l’article A. 511-2, les compétences nécessaires à l’exercice des fonctions mentionnées au II de l’article LP 511-5, ainsi que les actions de formation ou de développement professionnel continus correspondantes, sont : </w:t>
      </w:r>
    </w:p>
    <w:p w14:paraId="3080200E" w14:textId="77777777" w:rsidR="00926999" w:rsidRPr="00462929" w:rsidRDefault="00926999" w:rsidP="00926999">
      <w:pPr>
        <w:pStyle w:val="NormalWeb"/>
        <w:numPr>
          <w:ilvl w:val="0"/>
          <w:numId w:val="4"/>
        </w:numPr>
        <w:jc w:val="both"/>
        <w:rPr>
          <w:b/>
          <w:u w:val="single"/>
        </w:rPr>
      </w:pPr>
      <w:r w:rsidRPr="00462929">
        <w:rPr>
          <w:b/>
          <w:u w:val="single"/>
        </w:rPr>
        <w:t>Au titre des compétences professionnelles générales :</w:t>
      </w:r>
    </w:p>
    <w:p w14:paraId="3E5A995F" w14:textId="77777777" w:rsidR="00926999" w:rsidRDefault="00926999" w:rsidP="00926999">
      <w:pPr>
        <w:pStyle w:val="NormalWeb"/>
        <w:jc w:val="both"/>
      </w:pPr>
      <w:r>
        <w:t>a) Appréhender l’activité et l’environnement de la distribution d’assurances et ses évolutions au regard des fonctions exercées :</w:t>
      </w:r>
    </w:p>
    <w:p w14:paraId="34BA94A6" w14:textId="77777777" w:rsidR="00926999" w:rsidRDefault="00926999" w:rsidP="00926999">
      <w:pPr>
        <w:pStyle w:val="NormalWeb"/>
        <w:numPr>
          <w:ilvl w:val="0"/>
          <w:numId w:val="5"/>
        </w:numPr>
        <w:jc w:val="both"/>
      </w:pPr>
      <w:r>
        <w:t>maîtriser les conditions d’accès et d’exercice de l’activité de distributeur ;</w:t>
      </w:r>
    </w:p>
    <w:p w14:paraId="74E5748D" w14:textId="77777777" w:rsidR="00926999" w:rsidRDefault="00926999" w:rsidP="00926999">
      <w:pPr>
        <w:pStyle w:val="NormalWeb"/>
        <w:numPr>
          <w:ilvl w:val="0"/>
          <w:numId w:val="5"/>
        </w:numPr>
        <w:jc w:val="both"/>
      </w:pPr>
      <w:r>
        <w:t>appréhender les différents acteurs de la distribution d’assurances ;</w:t>
      </w:r>
    </w:p>
    <w:p w14:paraId="21B533AB" w14:textId="77777777" w:rsidR="00926999" w:rsidRDefault="00926999" w:rsidP="00926999">
      <w:pPr>
        <w:pStyle w:val="NormalWeb"/>
        <w:numPr>
          <w:ilvl w:val="0"/>
          <w:numId w:val="5"/>
        </w:numPr>
        <w:jc w:val="both"/>
      </w:pPr>
      <w:r>
        <w:t>maîtriser les règles de gouvernance et de surveillance des produits, de protection de la clientèle, d’information et de conseil, de gestion des conflits d’intérêts, de rémunération, de traitement des réclamations, ainsi que le dispositif de médiation ;</w:t>
      </w:r>
    </w:p>
    <w:p w14:paraId="3F8BF712" w14:textId="77777777" w:rsidR="00926999" w:rsidRDefault="00926999" w:rsidP="00926999">
      <w:pPr>
        <w:pStyle w:val="NormalWeb"/>
        <w:numPr>
          <w:ilvl w:val="0"/>
          <w:numId w:val="5"/>
        </w:numPr>
        <w:jc w:val="both"/>
      </w:pPr>
      <w:r>
        <w:t>identifier les évolutions juridiques, économiques, financières, démographiques, technologiques ou sociétales, et leurs impacts sur la distribution d’assurances ;</w:t>
      </w:r>
    </w:p>
    <w:p w14:paraId="7792401B" w14:textId="77777777" w:rsidR="00926999" w:rsidRDefault="00926999" w:rsidP="00926999">
      <w:pPr>
        <w:pStyle w:val="NormalWeb"/>
        <w:numPr>
          <w:ilvl w:val="0"/>
          <w:numId w:val="5"/>
        </w:numPr>
        <w:jc w:val="both"/>
      </w:pPr>
      <w:r>
        <w:t xml:space="preserve">tirer les conséquences de ces évolutions sur son activité en matière de distribution d’assurances. </w:t>
      </w:r>
    </w:p>
    <w:p w14:paraId="40B25274" w14:textId="77777777" w:rsidR="00926999" w:rsidRDefault="00926999" w:rsidP="00926999">
      <w:pPr>
        <w:pStyle w:val="NormalWeb"/>
        <w:jc w:val="both"/>
      </w:pPr>
      <w:r>
        <w:t>b) Maîtriser la relation client :</w:t>
      </w:r>
    </w:p>
    <w:p w14:paraId="141215B8" w14:textId="77777777" w:rsidR="00926999" w:rsidRDefault="00926999" w:rsidP="00926999">
      <w:pPr>
        <w:pStyle w:val="NormalWeb"/>
        <w:numPr>
          <w:ilvl w:val="0"/>
          <w:numId w:val="6"/>
        </w:numPr>
        <w:jc w:val="both"/>
      </w:pPr>
      <w:r>
        <w:t>maîtriser l’information sur les produits présentés au client ;</w:t>
      </w:r>
    </w:p>
    <w:p w14:paraId="14D7E4B3" w14:textId="77777777" w:rsidR="00926999" w:rsidRDefault="00926999" w:rsidP="00926999">
      <w:pPr>
        <w:pStyle w:val="NormalWeb"/>
        <w:numPr>
          <w:ilvl w:val="0"/>
          <w:numId w:val="6"/>
        </w:numPr>
        <w:jc w:val="both"/>
      </w:pPr>
      <w:r>
        <w:t>appréhender l’ensemble des composantes de la situation du client ;</w:t>
      </w:r>
    </w:p>
    <w:p w14:paraId="396D6AFD" w14:textId="77777777" w:rsidR="00926999" w:rsidRDefault="00926999" w:rsidP="00926999">
      <w:pPr>
        <w:pStyle w:val="NormalWeb"/>
        <w:numPr>
          <w:ilvl w:val="0"/>
          <w:numId w:val="6"/>
        </w:numPr>
        <w:jc w:val="both"/>
      </w:pPr>
      <w:r>
        <w:t>identifier et analyser les besoins du client, le conseiller et proposer une solution cohérente ou appropriée ;</w:t>
      </w:r>
    </w:p>
    <w:p w14:paraId="35AE3C16" w14:textId="77777777" w:rsidR="00926999" w:rsidRDefault="00926999" w:rsidP="00926999">
      <w:pPr>
        <w:pStyle w:val="NormalWeb"/>
        <w:numPr>
          <w:ilvl w:val="0"/>
          <w:numId w:val="6"/>
        </w:numPr>
        <w:jc w:val="both"/>
      </w:pPr>
      <w:r>
        <w:t>maîtriser le processus de la recommandation personnalisée ;</w:t>
      </w:r>
    </w:p>
    <w:p w14:paraId="7843D91A" w14:textId="77777777" w:rsidR="00926999" w:rsidRDefault="00926999" w:rsidP="00926999">
      <w:pPr>
        <w:pStyle w:val="NormalWeb"/>
        <w:numPr>
          <w:ilvl w:val="0"/>
          <w:numId w:val="6"/>
        </w:numPr>
        <w:jc w:val="both"/>
      </w:pPr>
      <w:r>
        <w:t>formaliser l’information et le conseil, notamment la traçabilité du questionnement du client sur ses besoins et demandes ainsi que des solutions proposées, et la traçabilité de l’ensemble des informations et documents remis au client ;</w:t>
      </w:r>
    </w:p>
    <w:p w14:paraId="5DECB4BA" w14:textId="77777777" w:rsidR="00926999" w:rsidRDefault="00926999" w:rsidP="00926999">
      <w:pPr>
        <w:pStyle w:val="NormalWeb"/>
        <w:numPr>
          <w:ilvl w:val="0"/>
          <w:numId w:val="6"/>
        </w:numPr>
        <w:jc w:val="both"/>
      </w:pPr>
      <w:r>
        <w:lastRenderedPageBreak/>
        <w:t xml:space="preserve">identifier et prendre en compte les évolutions de la situation et des besoins du client nécessitant une évolution du contrat. </w:t>
      </w:r>
    </w:p>
    <w:p w14:paraId="5CDE2E31" w14:textId="77777777" w:rsidR="00926999" w:rsidRDefault="00926999" w:rsidP="00926999">
      <w:pPr>
        <w:pStyle w:val="NormalWeb"/>
        <w:jc w:val="both"/>
      </w:pPr>
      <w:r>
        <w:t>c) Mettre en œuvre les mesures de prévention et de conformité :</w:t>
      </w:r>
    </w:p>
    <w:p w14:paraId="529EF9D9" w14:textId="77777777" w:rsidR="00926999" w:rsidRDefault="00926999" w:rsidP="00926999">
      <w:pPr>
        <w:pStyle w:val="NormalWeb"/>
        <w:numPr>
          <w:ilvl w:val="0"/>
          <w:numId w:val="7"/>
        </w:numPr>
        <w:jc w:val="both"/>
      </w:pPr>
      <w:r>
        <w:t>appliquer les règles en matière de contrôle interne, de prévention des risques, de protection des données personnelles, de lutte contre la fraude, de lutte contre le blanchiment et le financement du terrorisme et de lutte contre la corruption ;</w:t>
      </w:r>
    </w:p>
    <w:p w14:paraId="37E3D0D3" w14:textId="77777777" w:rsidR="00926999" w:rsidRDefault="00926999" w:rsidP="00926999">
      <w:pPr>
        <w:pStyle w:val="NormalWeb"/>
        <w:numPr>
          <w:ilvl w:val="0"/>
          <w:numId w:val="7"/>
        </w:numPr>
        <w:jc w:val="both"/>
      </w:pPr>
      <w:r>
        <w:t xml:space="preserve">appliquer les règles déontologiques. </w:t>
      </w:r>
    </w:p>
    <w:p w14:paraId="39CF0412" w14:textId="77777777" w:rsidR="00926999" w:rsidRDefault="00926999" w:rsidP="00926999">
      <w:pPr>
        <w:pStyle w:val="NormalWeb"/>
        <w:jc w:val="both"/>
      </w:pPr>
      <w:r>
        <w:t>d) S’adapter aux évolutions organisationnelles et technologiques :</w:t>
      </w:r>
    </w:p>
    <w:p w14:paraId="55DC0313" w14:textId="77777777" w:rsidR="00926999" w:rsidRDefault="00926999" w:rsidP="00926999">
      <w:pPr>
        <w:pStyle w:val="NormalWeb"/>
        <w:numPr>
          <w:ilvl w:val="0"/>
          <w:numId w:val="8"/>
        </w:numPr>
        <w:jc w:val="both"/>
      </w:pPr>
      <w:r>
        <w:t>maîtriser les outils de l’environnement de travail dont les outils du parcours client y compris les outils digitaux ;</w:t>
      </w:r>
    </w:p>
    <w:p w14:paraId="746ED640" w14:textId="77777777" w:rsidR="00926999" w:rsidRDefault="00926999" w:rsidP="00926999">
      <w:pPr>
        <w:pStyle w:val="NormalWeb"/>
        <w:numPr>
          <w:ilvl w:val="0"/>
          <w:numId w:val="8"/>
        </w:numPr>
        <w:jc w:val="both"/>
      </w:pPr>
      <w:r>
        <w:t xml:space="preserve">s’approprier la culture de l’entreprise en vue de favoriser l’intérêt du client tout au long du processus de distribution ; </w:t>
      </w:r>
    </w:p>
    <w:p w14:paraId="5B1E5A19" w14:textId="77777777" w:rsidR="00926999" w:rsidRDefault="00926999" w:rsidP="00926999">
      <w:pPr>
        <w:pStyle w:val="NormalWeb"/>
        <w:jc w:val="both"/>
      </w:pPr>
      <w:r>
        <w:t>e) Développer un portefeuille dans le respect de la réglementation :</w:t>
      </w:r>
    </w:p>
    <w:p w14:paraId="36734CDF" w14:textId="77777777" w:rsidR="00926999" w:rsidRDefault="00926999" w:rsidP="00926999">
      <w:pPr>
        <w:pStyle w:val="NormalWeb"/>
        <w:numPr>
          <w:ilvl w:val="0"/>
          <w:numId w:val="9"/>
        </w:numPr>
        <w:jc w:val="both"/>
      </w:pPr>
      <w:r>
        <w:t>prospecter, commercialiser et négocier de manière adaptée à la clientèle concernée ;</w:t>
      </w:r>
    </w:p>
    <w:p w14:paraId="0058CE0C" w14:textId="77777777" w:rsidR="00926999" w:rsidRDefault="00926999" w:rsidP="00926999">
      <w:pPr>
        <w:pStyle w:val="NormalWeb"/>
        <w:numPr>
          <w:ilvl w:val="0"/>
          <w:numId w:val="9"/>
        </w:numPr>
        <w:jc w:val="both"/>
      </w:pPr>
      <w:r>
        <w:t>traiter les données des clients en vue d’adapter l’offre ;</w:t>
      </w:r>
    </w:p>
    <w:p w14:paraId="69E55D53" w14:textId="77777777" w:rsidR="00926999" w:rsidRDefault="00926999" w:rsidP="00926999">
      <w:pPr>
        <w:pStyle w:val="NormalWeb"/>
        <w:numPr>
          <w:ilvl w:val="0"/>
          <w:numId w:val="9"/>
        </w:numPr>
        <w:jc w:val="both"/>
      </w:pPr>
      <w:r>
        <w:t xml:space="preserve">maîtriser les règles applicables en matière de collecte, mise à jour, gestion et exploitation des données client. </w:t>
      </w:r>
    </w:p>
    <w:p w14:paraId="1F3A377C" w14:textId="77777777" w:rsidR="00926999" w:rsidRPr="00462929" w:rsidRDefault="00926999" w:rsidP="00926999">
      <w:pPr>
        <w:pStyle w:val="NormalWeb"/>
        <w:numPr>
          <w:ilvl w:val="0"/>
          <w:numId w:val="4"/>
        </w:numPr>
        <w:jc w:val="both"/>
        <w:rPr>
          <w:b/>
          <w:u w:val="single"/>
        </w:rPr>
      </w:pPr>
      <w:r w:rsidRPr="00462929">
        <w:rPr>
          <w:b/>
          <w:u w:val="single"/>
        </w:rPr>
        <w:t xml:space="preserve">Au titre des compétences professionnelles spécifiques à la nature des produits distribués : </w:t>
      </w:r>
    </w:p>
    <w:p w14:paraId="176F5B5A" w14:textId="77777777" w:rsidR="00926999" w:rsidRDefault="00926999" w:rsidP="00926999">
      <w:pPr>
        <w:pStyle w:val="NormalWeb"/>
        <w:jc w:val="both"/>
      </w:pPr>
      <w:r>
        <w:t>a) Assurance de personnes-vie, capitalisation :</w:t>
      </w:r>
    </w:p>
    <w:p w14:paraId="2610543A" w14:textId="77777777" w:rsidR="00926999" w:rsidRDefault="00926999" w:rsidP="00926999">
      <w:pPr>
        <w:pStyle w:val="NormalWeb"/>
        <w:numPr>
          <w:ilvl w:val="0"/>
          <w:numId w:val="10"/>
        </w:numPr>
        <w:jc w:val="both"/>
      </w:pPr>
      <w:r>
        <w:t>appréhender les marchés des produits d’épargne pertinents ;</w:t>
      </w:r>
    </w:p>
    <w:p w14:paraId="5B7C0850" w14:textId="77777777" w:rsidR="00926999" w:rsidRDefault="00926999" w:rsidP="00926999">
      <w:pPr>
        <w:pStyle w:val="NormalWeb"/>
        <w:numPr>
          <w:ilvl w:val="0"/>
          <w:numId w:val="10"/>
        </w:numPr>
        <w:jc w:val="both"/>
      </w:pPr>
      <w:r>
        <w:t>appréhender les régimes matrimoniaux, successoraux et fiscaux applicables ;</w:t>
      </w:r>
    </w:p>
    <w:p w14:paraId="4057DDB3" w14:textId="77777777" w:rsidR="00926999" w:rsidRDefault="00926999" w:rsidP="00926999">
      <w:pPr>
        <w:pStyle w:val="NormalWeb"/>
        <w:numPr>
          <w:ilvl w:val="0"/>
          <w:numId w:val="10"/>
        </w:numPr>
        <w:jc w:val="both"/>
      </w:pPr>
      <w:r>
        <w:t xml:space="preserve">apprécier les avantages et risques liés aux différentes options d’investissement. </w:t>
      </w:r>
    </w:p>
    <w:p w14:paraId="05E0E071" w14:textId="77777777" w:rsidR="00926999" w:rsidRDefault="00926999" w:rsidP="00926999">
      <w:pPr>
        <w:pStyle w:val="NormalWeb"/>
        <w:jc w:val="both"/>
      </w:pPr>
      <w:r>
        <w:t>b) Assurances de personnes en prévoyance, santé, retraite :</w:t>
      </w:r>
    </w:p>
    <w:p w14:paraId="1F0EFC4F" w14:textId="77777777" w:rsidR="00926999" w:rsidRDefault="00926999" w:rsidP="00926999">
      <w:pPr>
        <w:pStyle w:val="NormalWeb"/>
        <w:numPr>
          <w:ilvl w:val="0"/>
          <w:numId w:val="11"/>
        </w:numPr>
        <w:jc w:val="both"/>
      </w:pPr>
      <w:r>
        <w:t>appréhender les règles du droit fiscal, social et du travail ;</w:t>
      </w:r>
    </w:p>
    <w:p w14:paraId="1CF23174" w14:textId="77777777" w:rsidR="00926999" w:rsidRDefault="00926999" w:rsidP="00926999">
      <w:pPr>
        <w:pStyle w:val="NormalWeb"/>
        <w:numPr>
          <w:ilvl w:val="0"/>
          <w:numId w:val="11"/>
        </w:numPr>
        <w:jc w:val="both"/>
      </w:pPr>
      <w:r>
        <w:t>appréhender les marchés de produits santé, prévoyance et retraite pertinents et maîtriser l’articulation entre la protection sociale obligatoire et les garanties distribuées ;</w:t>
      </w:r>
    </w:p>
    <w:p w14:paraId="125FDEF3" w14:textId="77777777" w:rsidR="00926999" w:rsidRDefault="00926999" w:rsidP="00926999">
      <w:pPr>
        <w:pStyle w:val="NormalWeb"/>
        <w:numPr>
          <w:ilvl w:val="0"/>
          <w:numId w:val="11"/>
        </w:numPr>
        <w:jc w:val="both"/>
      </w:pPr>
      <w:r>
        <w:t xml:space="preserve">maîtriser les mécanismes de l’assurance collective. </w:t>
      </w:r>
    </w:p>
    <w:p w14:paraId="02F8BF69" w14:textId="77777777" w:rsidR="00926999" w:rsidRDefault="00926999" w:rsidP="00926999">
      <w:pPr>
        <w:pStyle w:val="NormalWeb"/>
        <w:jc w:val="both"/>
      </w:pPr>
      <w:r>
        <w:t>c) Assurance dommages aux biens et responsabilités</w:t>
      </w:r>
    </w:p>
    <w:p w14:paraId="1BD3DC4A" w14:textId="77777777" w:rsidR="00926999" w:rsidRDefault="00926999" w:rsidP="00926999">
      <w:pPr>
        <w:pStyle w:val="NormalWeb"/>
        <w:numPr>
          <w:ilvl w:val="0"/>
          <w:numId w:val="12"/>
        </w:numPr>
        <w:jc w:val="both"/>
      </w:pPr>
      <w:r>
        <w:t>appréhender le marché des produits d’assurance de biens et responsabilités pertinents ;</w:t>
      </w:r>
    </w:p>
    <w:p w14:paraId="29B6BEC1" w14:textId="77777777" w:rsidR="00926999" w:rsidRDefault="00926999" w:rsidP="00926999">
      <w:pPr>
        <w:pStyle w:val="NormalWeb"/>
        <w:numPr>
          <w:ilvl w:val="0"/>
          <w:numId w:val="12"/>
        </w:numPr>
        <w:jc w:val="both"/>
      </w:pPr>
      <w:r>
        <w:lastRenderedPageBreak/>
        <w:t xml:space="preserve">comprendre les règles spécifiques applicables notamment celles relatives à la protection de la clientèle. </w:t>
      </w:r>
    </w:p>
    <w:p w14:paraId="62C0C19C" w14:textId="77777777" w:rsidR="00926999" w:rsidRPr="00462929" w:rsidRDefault="00926999" w:rsidP="00926999">
      <w:pPr>
        <w:pStyle w:val="NormalWeb"/>
        <w:numPr>
          <w:ilvl w:val="0"/>
          <w:numId w:val="4"/>
        </w:numPr>
        <w:jc w:val="both"/>
        <w:rPr>
          <w:b/>
          <w:u w:val="single"/>
        </w:rPr>
      </w:pPr>
      <w:r w:rsidRPr="00462929">
        <w:rPr>
          <w:b/>
          <w:u w:val="single"/>
        </w:rPr>
        <w:t>Au titre des compétences professionnelles spécifiques à certains modes de distribution</w:t>
      </w:r>
      <w:r>
        <w:rPr>
          <w:b/>
          <w:u w:val="single"/>
        </w:rPr>
        <w:t> :</w:t>
      </w:r>
    </w:p>
    <w:p w14:paraId="17D0732A" w14:textId="77777777" w:rsidR="00926999" w:rsidRDefault="00926999" w:rsidP="00926999">
      <w:pPr>
        <w:pStyle w:val="NormalWeb"/>
        <w:numPr>
          <w:ilvl w:val="0"/>
          <w:numId w:val="13"/>
        </w:numPr>
        <w:jc w:val="both"/>
      </w:pPr>
      <w:r>
        <w:t>maîtriser les spécificités et les règles applicables au démarchage ;</w:t>
      </w:r>
    </w:p>
    <w:p w14:paraId="32DEBE8B" w14:textId="77777777" w:rsidR="00926999" w:rsidRDefault="00926999" w:rsidP="00926999">
      <w:pPr>
        <w:pStyle w:val="NormalWeb"/>
        <w:numPr>
          <w:ilvl w:val="0"/>
          <w:numId w:val="13"/>
        </w:numPr>
        <w:jc w:val="both"/>
      </w:pPr>
      <w:r>
        <w:t>maîtriser les spécificités et les règles applicables à la vente à distance ;</w:t>
      </w:r>
    </w:p>
    <w:p w14:paraId="26409B63" w14:textId="77777777" w:rsidR="00926999" w:rsidRDefault="00926999" w:rsidP="00926999">
      <w:pPr>
        <w:pStyle w:val="NormalWeb"/>
        <w:numPr>
          <w:ilvl w:val="0"/>
          <w:numId w:val="13"/>
        </w:numPr>
        <w:jc w:val="both"/>
      </w:pPr>
      <w:r>
        <w:t xml:space="preserve">maîtriser les techniques et les outils permettant de gérer les différentes étapes de la relation client à distance. </w:t>
      </w:r>
    </w:p>
    <w:p w14:paraId="1795E3FB" w14:textId="77777777" w:rsidR="00926999" w:rsidRPr="00462929" w:rsidRDefault="00926999" w:rsidP="00926999">
      <w:pPr>
        <w:pStyle w:val="NormalWeb"/>
        <w:numPr>
          <w:ilvl w:val="0"/>
          <w:numId w:val="4"/>
        </w:numPr>
        <w:jc w:val="both"/>
        <w:rPr>
          <w:b/>
          <w:u w:val="single"/>
        </w:rPr>
      </w:pPr>
      <w:r w:rsidRPr="00462929">
        <w:rPr>
          <w:b/>
          <w:u w:val="single"/>
        </w:rPr>
        <w:t>Au titre des compétences professionnelles spécifiques à certaines fonctions</w:t>
      </w:r>
      <w:r>
        <w:rPr>
          <w:b/>
          <w:u w:val="single"/>
        </w:rPr>
        <w:t> :</w:t>
      </w:r>
    </w:p>
    <w:p w14:paraId="6C57E4CE" w14:textId="77777777" w:rsidR="00926999" w:rsidRDefault="00926999" w:rsidP="00926999">
      <w:pPr>
        <w:pStyle w:val="NormalWeb"/>
        <w:jc w:val="both"/>
      </w:pPr>
      <w:r>
        <w:t>a) Intermédiaires personnes physiques et mandataires sociaux des intermédiaires personnes morales, en contact direct avec la clientèle ou qui encadrent habituellement des personnes en contact direct avec la clientèle :</w:t>
      </w:r>
    </w:p>
    <w:p w14:paraId="02F19DC3" w14:textId="77777777" w:rsidR="00926999" w:rsidRDefault="00926999" w:rsidP="00926999">
      <w:pPr>
        <w:pStyle w:val="NormalWeb"/>
        <w:numPr>
          <w:ilvl w:val="0"/>
          <w:numId w:val="14"/>
        </w:numPr>
        <w:jc w:val="both"/>
      </w:pPr>
      <w:r>
        <w:t>concevoir ou mettre en œuvre un plan d’actions commerciales ;</w:t>
      </w:r>
    </w:p>
    <w:p w14:paraId="0A3DFD1D" w14:textId="77777777" w:rsidR="00926999" w:rsidRDefault="00926999" w:rsidP="00926999">
      <w:pPr>
        <w:pStyle w:val="NormalWeb"/>
        <w:numPr>
          <w:ilvl w:val="0"/>
          <w:numId w:val="14"/>
        </w:numPr>
        <w:jc w:val="both"/>
      </w:pPr>
      <w:r>
        <w:t>adapter la commercialisation à l’évolution de l’environnement économique, de la réglementation applicable ou le cas échéant de l’offre de produits ;</w:t>
      </w:r>
    </w:p>
    <w:p w14:paraId="0723E8A7" w14:textId="77777777" w:rsidR="00926999" w:rsidRDefault="00926999" w:rsidP="00926999">
      <w:pPr>
        <w:pStyle w:val="NormalWeb"/>
        <w:numPr>
          <w:ilvl w:val="0"/>
          <w:numId w:val="14"/>
        </w:numPr>
        <w:jc w:val="both"/>
      </w:pPr>
      <w:r>
        <w:t>encadrer et animer les activités des salariés assurant des fonctions de distribution ;</w:t>
      </w:r>
    </w:p>
    <w:p w14:paraId="07A11219" w14:textId="77777777" w:rsidR="00926999" w:rsidRDefault="00926999" w:rsidP="00926999">
      <w:pPr>
        <w:pStyle w:val="NormalWeb"/>
        <w:numPr>
          <w:ilvl w:val="0"/>
          <w:numId w:val="14"/>
        </w:numPr>
        <w:jc w:val="both"/>
      </w:pPr>
      <w:r>
        <w:t xml:space="preserve">connaître les procédures de l’Autorité de contrôle prudentiel et de résolution en matière de contrôle et de sanction ou les procédures de contrôle interne déclinées au sein de l’entité. </w:t>
      </w:r>
    </w:p>
    <w:p w14:paraId="493FFF95" w14:textId="77777777" w:rsidR="00926999" w:rsidRDefault="00926999" w:rsidP="00926999">
      <w:pPr>
        <w:pStyle w:val="NormalWeb"/>
        <w:jc w:val="both"/>
      </w:pPr>
      <w:r>
        <w:t>b) Personnes directement responsables d’un bureau de production ou de l’animation d’un réseau de personnes en lien direct avec la clientèle :</w:t>
      </w:r>
    </w:p>
    <w:p w14:paraId="373CDA66" w14:textId="77777777" w:rsidR="00926999" w:rsidRDefault="00926999" w:rsidP="00926999">
      <w:pPr>
        <w:pStyle w:val="NormalWeb"/>
        <w:numPr>
          <w:ilvl w:val="0"/>
          <w:numId w:val="15"/>
        </w:numPr>
        <w:jc w:val="both"/>
      </w:pPr>
      <w:r>
        <w:t>concevoir ou mettre en œuvre un plan d’actions commerciales ;</w:t>
      </w:r>
    </w:p>
    <w:p w14:paraId="34935F76" w14:textId="77777777" w:rsidR="00926999" w:rsidRDefault="00926999" w:rsidP="00926999">
      <w:pPr>
        <w:pStyle w:val="NormalWeb"/>
        <w:numPr>
          <w:ilvl w:val="0"/>
          <w:numId w:val="15"/>
        </w:numPr>
        <w:jc w:val="both"/>
      </w:pPr>
      <w:r>
        <w:t>adapter l’organisation interne et la commercialisation à l’évolution de l’environnement économique, de l’offre de produits le cas échéant, ou le droit applicable ;</w:t>
      </w:r>
    </w:p>
    <w:p w14:paraId="14C1F4A2" w14:textId="77777777" w:rsidR="00926999" w:rsidRDefault="00926999" w:rsidP="00926999">
      <w:pPr>
        <w:pStyle w:val="NormalWeb"/>
        <w:numPr>
          <w:ilvl w:val="0"/>
          <w:numId w:val="15"/>
        </w:numPr>
        <w:jc w:val="both"/>
      </w:pPr>
      <w:r>
        <w:t>mettre en place ou appliquer les règles des procédures internes ;</w:t>
      </w:r>
    </w:p>
    <w:p w14:paraId="6FD29841" w14:textId="77777777" w:rsidR="00926999" w:rsidRDefault="00926999" w:rsidP="00926999">
      <w:pPr>
        <w:pStyle w:val="NormalWeb"/>
        <w:numPr>
          <w:ilvl w:val="0"/>
          <w:numId w:val="15"/>
        </w:numPr>
        <w:jc w:val="both"/>
      </w:pPr>
      <w:r>
        <w:t>encadrer et animer les activités des salariés assurant des fonctions de distribution placés sous sa responsabilité ;</w:t>
      </w:r>
    </w:p>
    <w:p w14:paraId="7D27F8A9" w14:textId="77777777" w:rsidR="00926999" w:rsidRDefault="00926999" w:rsidP="00926999">
      <w:pPr>
        <w:pStyle w:val="NormalWeb"/>
        <w:numPr>
          <w:ilvl w:val="0"/>
          <w:numId w:val="15"/>
        </w:numPr>
        <w:jc w:val="both"/>
      </w:pPr>
      <w:r>
        <w:t xml:space="preserve">connaître les procédures de la Polynésie française en matière de contrôle et de sanction ou les procédures de contrôle interne déclinées au sein de l’entité. </w:t>
      </w:r>
    </w:p>
    <w:p w14:paraId="017B5FC3" w14:textId="52E08226" w:rsidR="00926999" w:rsidRDefault="00926999" w:rsidP="00926999">
      <w:pPr>
        <w:jc w:val="center"/>
        <w:rPr>
          <w:rFonts w:ascii="Times New Roman" w:hAnsi="Times New Roman"/>
          <w:b/>
          <w:sz w:val="24"/>
          <w:szCs w:val="24"/>
          <w:u w:val="single"/>
        </w:rPr>
      </w:pPr>
    </w:p>
    <w:p w14:paraId="09EDD2FC" w14:textId="03C3C599" w:rsidR="00926999" w:rsidRDefault="00926999" w:rsidP="00926999">
      <w:pPr>
        <w:jc w:val="center"/>
        <w:rPr>
          <w:rFonts w:ascii="Times New Roman" w:hAnsi="Times New Roman"/>
          <w:b/>
          <w:sz w:val="24"/>
          <w:szCs w:val="24"/>
          <w:u w:val="single"/>
        </w:rPr>
      </w:pPr>
    </w:p>
    <w:p w14:paraId="08802CF7" w14:textId="3849C3EA" w:rsidR="00926999" w:rsidRDefault="00926999" w:rsidP="00926999">
      <w:pPr>
        <w:jc w:val="center"/>
        <w:rPr>
          <w:rFonts w:ascii="Times New Roman" w:hAnsi="Times New Roman"/>
          <w:b/>
          <w:sz w:val="24"/>
          <w:szCs w:val="24"/>
          <w:u w:val="single"/>
        </w:rPr>
      </w:pPr>
    </w:p>
    <w:p w14:paraId="237ADEC2" w14:textId="77777777" w:rsidR="00926999" w:rsidRPr="008A157C" w:rsidRDefault="00926999" w:rsidP="008A157C">
      <w:pPr>
        <w:jc w:val="center"/>
        <w:rPr>
          <w:rFonts w:ascii="Times New Roman" w:hAnsi="Times New Roman" w:cs="Times New Roman"/>
          <w:b/>
          <w:sz w:val="28"/>
          <w:szCs w:val="28"/>
        </w:rPr>
      </w:pPr>
      <w:r w:rsidRPr="008A157C">
        <w:rPr>
          <w:rFonts w:ascii="Times New Roman" w:hAnsi="Times New Roman" w:cs="Times New Roman"/>
          <w:b/>
          <w:sz w:val="28"/>
          <w:szCs w:val="28"/>
        </w:rPr>
        <w:t>Annexe 5-2. (Article A 512-11)</w:t>
      </w:r>
    </w:p>
    <w:p w14:paraId="3BC075B2" w14:textId="77777777" w:rsidR="00926999" w:rsidRPr="00926999" w:rsidRDefault="00926999" w:rsidP="00926999">
      <w:pPr>
        <w:pBdr>
          <w:top w:val="single" w:sz="4" w:space="1" w:color="auto"/>
          <w:left w:val="single" w:sz="4" w:space="4" w:color="auto"/>
          <w:bottom w:val="single" w:sz="4" w:space="1" w:color="auto"/>
          <w:right w:val="single" w:sz="4" w:space="4" w:color="auto"/>
        </w:pBdr>
        <w:shd w:val="clear" w:color="auto" w:fill="C9C9C9" w:themeFill="accent3" w:themeFillTint="99"/>
        <w:spacing w:after="200" w:line="276" w:lineRule="auto"/>
        <w:jc w:val="both"/>
        <w:rPr>
          <w:rFonts w:ascii="Times New Roman" w:eastAsia="Calibri" w:hAnsi="Times New Roman" w:cs="Times New Roman"/>
          <w:sz w:val="24"/>
          <w:szCs w:val="24"/>
        </w:rPr>
      </w:pPr>
      <w:r w:rsidRPr="00926999">
        <w:rPr>
          <w:rFonts w:ascii="Times New Roman" w:eastAsia="Calibri" w:hAnsi="Times New Roman" w:cs="Times New Roman"/>
          <w:b/>
          <w:bCs/>
          <w:sz w:val="24"/>
          <w:szCs w:val="24"/>
        </w:rPr>
        <w:t xml:space="preserve">Niveau I - </w:t>
      </w:r>
      <w:r w:rsidRPr="00926999">
        <w:rPr>
          <w:rFonts w:ascii="Times New Roman" w:eastAsia="Calibri" w:hAnsi="Times New Roman" w:cs="Times New Roman"/>
          <w:i/>
        </w:rPr>
        <w:t>Courtier</w:t>
      </w:r>
      <w:r w:rsidRPr="00926999">
        <w:rPr>
          <w:rFonts w:ascii="Times New Roman" w:eastAsia="Calibri" w:hAnsi="Times New Roman" w:cs="Times New Roman"/>
          <w:i/>
          <w:sz w:val="24"/>
          <w:szCs w:val="24"/>
        </w:rPr>
        <w:t>, agent général, établissements de crédit et société de financement, salariés responsables de bureau de production ou qui ont la charge d’animer un réseau de production</w:t>
      </w:r>
    </w:p>
    <w:p w14:paraId="616FF080" w14:textId="77777777" w:rsidR="00926999" w:rsidRPr="00926999" w:rsidRDefault="00926999" w:rsidP="00926999">
      <w:pPr>
        <w:spacing w:after="200" w:line="276" w:lineRule="auto"/>
        <w:jc w:val="both"/>
        <w:rPr>
          <w:rFonts w:ascii="Times New Roman" w:eastAsia="Calibri" w:hAnsi="Times New Roman" w:cs="Times New Roman"/>
          <w:sz w:val="24"/>
          <w:szCs w:val="24"/>
        </w:rPr>
      </w:pPr>
      <w:r w:rsidRPr="00926999">
        <w:rPr>
          <w:rFonts w:ascii="Times New Roman" w:eastAsia="Calibri" w:hAnsi="Times New Roman" w:cs="Times New Roman"/>
          <w:sz w:val="24"/>
          <w:szCs w:val="24"/>
        </w:rPr>
        <w:t xml:space="preserve">En application de l’article A 512-9 (I 1°), le candidat stagiaire devra avoir suivi, durant la période de 150 heures, une formation lui permettant d’acquérir les connaissances visées dans les 5 unités suivantes : </w:t>
      </w:r>
    </w:p>
    <w:p w14:paraId="1E6A393E" w14:textId="77777777" w:rsidR="00926999" w:rsidRPr="00926999" w:rsidRDefault="00926999" w:rsidP="00926999">
      <w:pPr>
        <w:spacing w:after="200" w:line="276" w:lineRule="auto"/>
        <w:jc w:val="center"/>
        <w:rPr>
          <w:rFonts w:ascii="Times New Roman" w:eastAsia="Calibri" w:hAnsi="Times New Roman" w:cs="Times New Roman"/>
          <w:sz w:val="24"/>
          <w:szCs w:val="24"/>
        </w:rPr>
      </w:pPr>
      <w:r w:rsidRPr="00926999">
        <w:rPr>
          <w:rFonts w:ascii="Times New Roman" w:eastAsia="Calibri" w:hAnsi="Times New Roman" w:cs="Times New Roman"/>
          <w:b/>
          <w:bCs/>
          <w:sz w:val="24"/>
          <w:szCs w:val="24"/>
        </w:rPr>
        <w:t>Unité 1 : Les savoirs généraux</w:t>
      </w:r>
    </w:p>
    <w:p w14:paraId="6C22B1B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1 La présentation du secteur de l’assurance</w:t>
      </w:r>
    </w:p>
    <w:p w14:paraId="0A08FAE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1. 1 Données macro-économiques sur l’assurance.</w:t>
      </w:r>
    </w:p>
    <w:p w14:paraId="158D0FC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1. 2 Les rôles de l’assurance et de la réassurance.</w:t>
      </w:r>
    </w:p>
    <w:p w14:paraId="5FA4470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1. 3 Le marché européen de l’assurance.</w:t>
      </w:r>
    </w:p>
    <w:p w14:paraId="3C458E51"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2 Les entreprises d’assurances</w:t>
      </w:r>
    </w:p>
    <w:p w14:paraId="53718AC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2. 1 Les différentes formes d’entreprises.</w:t>
      </w:r>
    </w:p>
    <w:p w14:paraId="45E697F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2. 2 L’agrément, le retrait d’agrément, le transfert de portefeuille, la liquidation.</w:t>
      </w:r>
    </w:p>
    <w:p w14:paraId="3A61A39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L’opération d’assurance</w:t>
      </w:r>
    </w:p>
    <w:p w14:paraId="4ECED50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1 Définition.</w:t>
      </w:r>
    </w:p>
    <w:p w14:paraId="6FCED48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2 Bases techniques : appréciation du risque, mutualisation, co-assurance, réassurance.</w:t>
      </w:r>
    </w:p>
    <w:p w14:paraId="6CBBB287"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3 Mécanismes juridiques : assurance cumulative, sur-assurance, sous-assurance, règle proportionnelle...</w:t>
      </w:r>
    </w:p>
    <w:p w14:paraId="77BCD881"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4 Mécanismes de détermination de la prime / cotisation.</w:t>
      </w:r>
    </w:p>
    <w:p w14:paraId="22CAC99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5 Les marchés publics.</w:t>
      </w:r>
    </w:p>
    <w:p w14:paraId="58A59CD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Les différentes catégories d’assurance</w:t>
      </w:r>
    </w:p>
    <w:p w14:paraId="647FF51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1 Assurances de personnes / assurances de biens et de responsabilité.</w:t>
      </w:r>
    </w:p>
    <w:p w14:paraId="1BEB858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2 Assurances individuelles / assurances collectives.</w:t>
      </w:r>
    </w:p>
    <w:p w14:paraId="356D2DC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3 Assurances obligatoires / assurances facultatives.</w:t>
      </w:r>
    </w:p>
    <w:p w14:paraId="38831B6B"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4 Assurances à caractère indemnitaire / assurances à caractère forfaitaire.</w:t>
      </w:r>
    </w:p>
    <w:p w14:paraId="18BF9AB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5 Assurances gérées en répartition / assurances gérées en capitalisation.</w:t>
      </w:r>
    </w:p>
    <w:p w14:paraId="099EEC7F" w14:textId="77777777" w:rsidR="00926999" w:rsidRPr="00926999" w:rsidRDefault="00926999" w:rsidP="00926999">
      <w:pPr>
        <w:rPr>
          <w:rFonts w:ascii="Times New Roman" w:eastAsia="Calibri" w:hAnsi="Times New Roman" w:cs="Times New Roman"/>
          <w:sz w:val="24"/>
          <w:szCs w:val="24"/>
        </w:rPr>
      </w:pPr>
      <w:r w:rsidRPr="00926999">
        <w:rPr>
          <w:rFonts w:ascii="Times New Roman" w:eastAsia="Calibri" w:hAnsi="Times New Roman" w:cs="Times New Roman"/>
          <w:sz w:val="24"/>
          <w:szCs w:val="24"/>
        </w:rPr>
        <w:lastRenderedPageBreak/>
        <w:br w:type="page"/>
      </w:r>
    </w:p>
    <w:p w14:paraId="30E37657"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lastRenderedPageBreak/>
        <w:t>1. 5 L’intermédiation en assurance</w:t>
      </w:r>
    </w:p>
    <w:p w14:paraId="213FB5E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1 Le champ d’application de la réglementation.</w:t>
      </w:r>
    </w:p>
    <w:p w14:paraId="24325801"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2 Les différentes catégories d’intervenants dans l’intermédiation.</w:t>
      </w:r>
    </w:p>
    <w:p w14:paraId="3A66E63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3 Les conditions d’accès et d’exercice de l’activité d’intermédiation.</w:t>
      </w:r>
    </w:p>
    <w:p w14:paraId="189AD39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4 La responsabilité des intermédiaires.</w:t>
      </w:r>
    </w:p>
    <w:p w14:paraId="06B48BF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5 La libre prestation de services et le libre établissement.</w:t>
      </w:r>
    </w:p>
    <w:p w14:paraId="576983F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6 Le contrôle et les sanctions.</w:t>
      </w:r>
    </w:p>
    <w:p w14:paraId="05F7F49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7 Les modes de distribution réglementés.</w:t>
      </w:r>
    </w:p>
    <w:p w14:paraId="146F339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6 La relation avec le client</w:t>
      </w:r>
    </w:p>
    <w:p w14:paraId="091B6042" w14:textId="77777777" w:rsidR="00926999" w:rsidRPr="00926999" w:rsidRDefault="00926999" w:rsidP="00926999">
      <w:pPr>
        <w:spacing w:after="200" w:line="276" w:lineRule="auto"/>
        <w:jc w:val="both"/>
        <w:rPr>
          <w:rFonts w:ascii="Times New Roman" w:eastAsia="Calibri" w:hAnsi="Times New Roman" w:cs="Times New Roman"/>
          <w:sz w:val="24"/>
          <w:szCs w:val="24"/>
        </w:rPr>
      </w:pPr>
      <w:r w:rsidRPr="00926999">
        <w:rPr>
          <w:rFonts w:ascii="Times New Roman" w:eastAsia="Calibri" w:hAnsi="Times New Roman" w:cs="Times New Roman"/>
          <w:sz w:val="24"/>
          <w:szCs w:val="24"/>
        </w:rPr>
        <w:t>1. 6. 1 Les informations à donner au client : information précontractuelle, information contractuelle, informations à produire par l’intermédiaire.</w:t>
      </w:r>
    </w:p>
    <w:p w14:paraId="7A48782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6. 2 Le conseil adapté, la formalisation, le suivi du client.</w:t>
      </w:r>
    </w:p>
    <w:p w14:paraId="49354DA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6. 3 La survenance et la gestion de l’événement garanti.</w:t>
      </w:r>
    </w:p>
    <w:p w14:paraId="1CF0B40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6. 4 La protection du consommateur.</w:t>
      </w:r>
    </w:p>
    <w:p w14:paraId="5937E28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6. 5 Les modes de règlement des litiges.</w:t>
      </w:r>
    </w:p>
    <w:p w14:paraId="4FFB7C9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6. 6 La déontologie.</w:t>
      </w:r>
    </w:p>
    <w:p w14:paraId="7DE865C1"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7 La lutte contre le blanchiment</w:t>
      </w:r>
    </w:p>
    <w:p w14:paraId="57948B5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7. 1 La vérification d’identité.</w:t>
      </w:r>
    </w:p>
    <w:p w14:paraId="78B21D3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7. 2 La déclaration de soupçon.</w:t>
      </w:r>
    </w:p>
    <w:p w14:paraId="6417789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7. 3 Les procédures internes.</w:t>
      </w:r>
    </w:p>
    <w:p w14:paraId="7379CF8E" w14:textId="77777777" w:rsidR="00926999" w:rsidRPr="00926999" w:rsidRDefault="00926999" w:rsidP="00926999">
      <w:pPr>
        <w:spacing w:after="200" w:line="276" w:lineRule="auto"/>
        <w:jc w:val="center"/>
        <w:rPr>
          <w:rFonts w:ascii="Times New Roman" w:eastAsia="Calibri" w:hAnsi="Times New Roman" w:cs="Times New Roman"/>
          <w:sz w:val="24"/>
          <w:szCs w:val="24"/>
        </w:rPr>
      </w:pPr>
      <w:r w:rsidRPr="00926999">
        <w:rPr>
          <w:rFonts w:ascii="Times New Roman" w:eastAsia="Calibri" w:hAnsi="Times New Roman" w:cs="Times New Roman"/>
          <w:b/>
          <w:bCs/>
          <w:sz w:val="24"/>
          <w:szCs w:val="24"/>
        </w:rPr>
        <w:t>Unité 2 : Les assurances de personnes incapacité invalidité-décès-dépendance-santé</w:t>
      </w:r>
    </w:p>
    <w:p w14:paraId="231C7C37"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L’assurance contre les risques corporels (incapacité-invalidité-décès)</w:t>
      </w:r>
    </w:p>
    <w:p w14:paraId="16D606C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1 Les règles de la sécurité sociale.</w:t>
      </w:r>
    </w:p>
    <w:p w14:paraId="2BCDB32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2 Les conditions de souscription et de tarification.</w:t>
      </w:r>
    </w:p>
    <w:p w14:paraId="0D5E392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3 Les garanties et les exclusions.</w:t>
      </w:r>
    </w:p>
    <w:p w14:paraId="72C47007"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4 Les prestations et leur règlement</w:t>
      </w:r>
    </w:p>
    <w:p w14:paraId="750A9FF8" w14:textId="77777777" w:rsidR="00926999" w:rsidRPr="00926999" w:rsidRDefault="00926999" w:rsidP="00926999">
      <w:pPr>
        <w:rPr>
          <w:rFonts w:ascii="Times New Roman" w:eastAsia="Calibri" w:hAnsi="Times New Roman" w:cs="Times New Roman"/>
          <w:sz w:val="24"/>
          <w:szCs w:val="24"/>
        </w:rPr>
      </w:pPr>
      <w:r w:rsidRPr="00926999">
        <w:rPr>
          <w:rFonts w:ascii="Times New Roman" w:eastAsia="Calibri" w:hAnsi="Times New Roman" w:cs="Times New Roman"/>
          <w:sz w:val="24"/>
          <w:szCs w:val="24"/>
        </w:rPr>
        <w:br w:type="page"/>
      </w:r>
    </w:p>
    <w:p w14:paraId="33A7EEC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lastRenderedPageBreak/>
        <w:t>2. 2 La dépendance</w:t>
      </w:r>
    </w:p>
    <w:p w14:paraId="4C80CBC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1 Le risque dépendance : notion, caractéristiques.</w:t>
      </w:r>
    </w:p>
    <w:p w14:paraId="04161F3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2 Les conditions de souscription et de tarification.</w:t>
      </w:r>
    </w:p>
    <w:p w14:paraId="5FB8EC07"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3 Les garanties et leurs limites.</w:t>
      </w:r>
    </w:p>
    <w:p w14:paraId="5443C15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4 Les prestations et leur règlement.</w:t>
      </w:r>
    </w:p>
    <w:p w14:paraId="465C85D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5 Les services à la personne et les prestations d’assistance.</w:t>
      </w:r>
    </w:p>
    <w:p w14:paraId="66883AA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L’assurance complémentaire santé</w:t>
      </w:r>
    </w:p>
    <w:p w14:paraId="133F5B4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1 L’articulation de l’assurance maladie obligatoire et de l’assurance maladie complémentaire.</w:t>
      </w:r>
    </w:p>
    <w:p w14:paraId="009CC21B"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2 Les contrats responsables.</w:t>
      </w:r>
    </w:p>
    <w:p w14:paraId="18CF321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3 Les conditions de souscription et de tarification.</w:t>
      </w:r>
    </w:p>
    <w:p w14:paraId="5FC1839B"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4 Les garanties et les exclusions.</w:t>
      </w:r>
    </w:p>
    <w:p w14:paraId="1DE2C231"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5 Les prestations.</w:t>
      </w:r>
    </w:p>
    <w:p w14:paraId="1F408AC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6 Les modes de règlement.</w:t>
      </w:r>
    </w:p>
    <w:p w14:paraId="0A179D07" w14:textId="77777777" w:rsidR="00926999" w:rsidRPr="00926999" w:rsidRDefault="00926999" w:rsidP="00926999">
      <w:pPr>
        <w:spacing w:after="200" w:line="276" w:lineRule="auto"/>
        <w:jc w:val="center"/>
        <w:rPr>
          <w:rFonts w:ascii="Times New Roman" w:eastAsia="Calibri" w:hAnsi="Times New Roman" w:cs="Times New Roman"/>
          <w:sz w:val="24"/>
          <w:szCs w:val="24"/>
        </w:rPr>
      </w:pPr>
      <w:r w:rsidRPr="00926999">
        <w:rPr>
          <w:rFonts w:ascii="Times New Roman" w:eastAsia="Calibri" w:hAnsi="Times New Roman" w:cs="Times New Roman"/>
          <w:b/>
          <w:bCs/>
          <w:sz w:val="24"/>
          <w:szCs w:val="24"/>
        </w:rPr>
        <w:t>Unité 3 : Les assurances de personnes : assurances vie et capitalisation</w:t>
      </w:r>
    </w:p>
    <w:p w14:paraId="46EFCEA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1. La prise en compte des besoins</w:t>
      </w:r>
    </w:p>
    <w:p w14:paraId="78D72CC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1. 1 Les composantes du patrimoine.</w:t>
      </w:r>
    </w:p>
    <w:p w14:paraId="71DE189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1. 2 Les régimes matrimoniaux et successoraux.</w:t>
      </w:r>
    </w:p>
    <w:p w14:paraId="70628FE7"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1. 3 Les régimes obligatoires de retraite, la retraite complémentaire et surcomplémentaire.</w:t>
      </w:r>
    </w:p>
    <w:p w14:paraId="1037878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2. Les principales catégories de contrats</w:t>
      </w:r>
    </w:p>
    <w:p w14:paraId="3D57349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2. 1 Assurances en cas de vie / assurances en cas de décès / assurances mixtes.</w:t>
      </w:r>
    </w:p>
    <w:p w14:paraId="55884F1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2. 2 Contrats en euros et contrats en unités de compte.</w:t>
      </w:r>
    </w:p>
    <w:p w14:paraId="694E992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Les spécificités</w:t>
      </w:r>
    </w:p>
    <w:p w14:paraId="0755E2FB"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1 La souscription du contrat.</w:t>
      </w:r>
    </w:p>
    <w:p w14:paraId="04F1760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2 Le paiement de la cotisation.</w:t>
      </w:r>
    </w:p>
    <w:p w14:paraId="3E4A936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3 Le règlement des prestations.</w:t>
      </w:r>
    </w:p>
    <w:p w14:paraId="4E05EFF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4 La fiscalité.</w:t>
      </w:r>
    </w:p>
    <w:p w14:paraId="54D2F7B8" w14:textId="77777777" w:rsidR="00926999" w:rsidRPr="00926999" w:rsidRDefault="00926999" w:rsidP="00926999">
      <w:pPr>
        <w:spacing w:after="200" w:line="276" w:lineRule="auto"/>
        <w:jc w:val="center"/>
        <w:rPr>
          <w:rFonts w:ascii="Times New Roman" w:eastAsia="Calibri" w:hAnsi="Times New Roman" w:cs="Times New Roman"/>
          <w:sz w:val="24"/>
          <w:szCs w:val="24"/>
        </w:rPr>
      </w:pPr>
      <w:r w:rsidRPr="00926999">
        <w:rPr>
          <w:rFonts w:ascii="Times New Roman" w:eastAsia="Calibri" w:hAnsi="Times New Roman" w:cs="Times New Roman"/>
          <w:b/>
          <w:bCs/>
          <w:sz w:val="24"/>
          <w:szCs w:val="24"/>
        </w:rPr>
        <w:lastRenderedPageBreak/>
        <w:t>Unité 4 : assurances de personnes : les contrats collectifs</w:t>
      </w:r>
    </w:p>
    <w:p w14:paraId="3C7641C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L’assurance de groupe</w:t>
      </w:r>
    </w:p>
    <w:p w14:paraId="1FC5893E"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1 Définition.</w:t>
      </w:r>
    </w:p>
    <w:p w14:paraId="782EDA3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2 Caractère obligatoire ou facultatif de l’adhésion.</w:t>
      </w:r>
    </w:p>
    <w:p w14:paraId="3876C09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3 Information due à l’adhérent.</w:t>
      </w:r>
    </w:p>
    <w:p w14:paraId="3EC6E1FB"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4 Tarification et paiement des cotisations.</w:t>
      </w:r>
    </w:p>
    <w:p w14:paraId="6ED8297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5 Paiement des prestations.</w:t>
      </w:r>
    </w:p>
    <w:p w14:paraId="75BB4E1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6 Spécificités de l’assurance emprunteur.</w:t>
      </w:r>
    </w:p>
    <w:p w14:paraId="2DAF811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Contrats collectifs au profit des salariés</w:t>
      </w:r>
    </w:p>
    <w:p w14:paraId="40F7A31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1 Conditions de mise en place du contrat.</w:t>
      </w:r>
    </w:p>
    <w:p w14:paraId="7737DC5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2 Contrats de prestations complémentaires de retraite.</w:t>
      </w:r>
    </w:p>
    <w:p w14:paraId="350C66D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3 Contrats de prévoyance complémentaire.</w:t>
      </w:r>
    </w:p>
    <w:p w14:paraId="37D24EB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4 Régime fiscal et social des cotisations et prestations.</w:t>
      </w:r>
      <w:r w:rsidRPr="00926999">
        <w:rPr>
          <w:rFonts w:ascii="Times New Roman" w:eastAsia="Calibri" w:hAnsi="Times New Roman" w:cs="Times New Roman"/>
          <w:sz w:val="24"/>
          <w:szCs w:val="24"/>
        </w:rPr>
        <w:br/>
      </w:r>
    </w:p>
    <w:p w14:paraId="1A2207E4" w14:textId="77777777" w:rsidR="00926999" w:rsidRPr="00926999" w:rsidRDefault="00926999" w:rsidP="00926999">
      <w:pPr>
        <w:spacing w:after="200" w:line="276" w:lineRule="auto"/>
        <w:jc w:val="center"/>
        <w:rPr>
          <w:rFonts w:ascii="Times New Roman" w:eastAsia="Calibri" w:hAnsi="Times New Roman" w:cs="Times New Roman"/>
          <w:sz w:val="24"/>
          <w:szCs w:val="24"/>
        </w:rPr>
      </w:pPr>
      <w:r w:rsidRPr="00926999">
        <w:rPr>
          <w:rFonts w:ascii="Times New Roman" w:eastAsia="Calibri" w:hAnsi="Times New Roman" w:cs="Times New Roman"/>
          <w:b/>
          <w:bCs/>
          <w:sz w:val="24"/>
          <w:szCs w:val="24"/>
        </w:rPr>
        <w:t>Unité 5 : Assurances de biens et de responsabilité</w:t>
      </w:r>
      <w:r w:rsidRPr="00926999">
        <w:rPr>
          <w:rFonts w:ascii="Times New Roman" w:eastAsia="Calibri" w:hAnsi="Times New Roman" w:cs="Times New Roman"/>
          <w:sz w:val="24"/>
          <w:szCs w:val="24"/>
        </w:rPr>
        <w:br/>
      </w:r>
    </w:p>
    <w:p w14:paraId="269567A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1 L’appréciation et la sélection du risque</w:t>
      </w:r>
    </w:p>
    <w:p w14:paraId="4CB669D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1. 1 L’identification des besoins.</w:t>
      </w:r>
    </w:p>
    <w:p w14:paraId="0D07B78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1. 2 L’appréciation des risques encourus.</w:t>
      </w:r>
    </w:p>
    <w:p w14:paraId="7C1855A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1. 3 Les critères d’acceptation d’un risque.</w:t>
      </w:r>
    </w:p>
    <w:p w14:paraId="4C9B274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1. 4 La prévention et la protection.</w:t>
      </w:r>
    </w:p>
    <w:p w14:paraId="773DFA5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2 Les différents types de contrats</w:t>
      </w:r>
    </w:p>
    <w:p w14:paraId="1FBA0D5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2. 1 L’assurance automobile.</w:t>
      </w:r>
    </w:p>
    <w:p w14:paraId="3F9E706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2. 2 Les multirisques « standards ».</w:t>
      </w:r>
    </w:p>
    <w:p w14:paraId="3C4A5F21"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2. 3 Les assurances de responsabilité civile.</w:t>
      </w:r>
    </w:p>
    <w:p w14:paraId="0C3054A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2. 4 La protection juridique.</w:t>
      </w:r>
    </w:p>
    <w:p w14:paraId="352D229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2. 5 L’assistance.</w:t>
      </w:r>
    </w:p>
    <w:p w14:paraId="1F9538C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lastRenderedPageBreak/>
        <w:t>5. 3 Les assurances des risques d’entreprises</w:t>
      </w:r>
    </w:p>
    <w:p w14:paraId="3AB0D58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3. 1 La responsabilité civile des mandataires sociaux.</w:t>
      </w:r>
    </w:p>
    <w:p w14:paraId="2CFD948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3. 2 Les risques industriels.</w:t>
      </w:r>
    </w:p>
    <w:p w14:paraId="173901F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3. 3 La responsabilité civile professionnelle.</w:t>
      </w:r>
    </w:p>
    <w:p w14:paraId="010D870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3. 4 Les pertes d’exploitation.</w:t>
      </w:r>
    </w:p>
    <w:p w14:paraId="7F00C0C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4 La présentation des garanties et la tarification</w:t>
      </w:r>
    </w:p>
    <w:p w14:paraId="5AF13BF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5 La vie du contrat</w:t>
      </w:r>
    </w:p>
    <w:p w14:paraId="73970AE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5. 1 Le paiement des cotisations.</w:t>
      </w:r>
    </w:p>
    <w:p w14:paraId="0489863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5. 5. 2 Le règlement des sinistres.</w:t>
      </w:r>
      <w:r w:rsidRPr="00926999">
        <w:rPr>
          <w:rFonts w:ascii="Times New Roman" w:eastAsia="Calibri" w:hAnsi="Times New Roman" w:cs="Times New Roman"/>
          <w:sz w:val="24"/>
          <w:szCs w:val="24"/>
        </w:rPr>
        <w:br/>
      </w:r>
    </w:p>
    <w:p w14:paraId="2AEF17F1" w14:textId="77777777" w:rsidR="00926999" w:rsidRPr="00926999" w:rsidRDefault="00926999" w:rsidP="00926999">
      <w:pPr>
        <w:pBdr>
          <w:top w:val="single" w:sz="4" w:space="1" w:color="auto"/>
          <w:left w:val="single" w:sz="4" w:space="4" w:color="auto"/>
          <w:bottom w:val="single" w:sz="4" w:space="1" w:color="auto"/>
          <w:right w:val="single" w:sz="4" w:space="4" w:color="auto"/>
        </w:pBdr>
        <w:shd w:val="clear" w:color="auto" w:fill="C9C9C9" w:themeFill="accent3" w:themeFillTint="99"/>
        <w:spacing w:after="200" w:line="276" w:lineRule="auto"/>
        <w:jc w:val="both"/>
        <w:rPr>
          <w:rFonts w:ascii="Times New Roman" w:eastAsia="Calibri" w:hAnsi="Times New Roman" w:cs="Times New Roman"/>
          <w:sz w:val="24"/>
          <w:szCs w:val="24"/>
        </w:rPr>
      </w:pPr>
      <w:r w:rsidRPr="00926999">
        <w:rPr>
          <w:rFonts w:ascii="Times New Roman" w:eastAsia="Calibri" w:hAnsi="Times New Roman" w:cs="Times New Roman"/>
          <w:b/>
          <w:sz w:val="24"/>
          <w:szCs w:val="24"/>
        </w:rPr>
        <w:t>Niveau II.-</w:t>
      </w:r>
      <w:r w:rsidRPr="00926999">
        <w:rPr>
          <w:rFonts w:ascii="Times New Roman" w:eastAsia="Calibri" w:hAnsi="Times New Roman" w:cs="Times New Roman"/>
          <w:sz w:val="24"/>
          <w:szCs w:val="24"/>
        </w:rPr>
        <w:t xml:space="preserve"> </w:t>
      </w:r>
      <w:r w:rsidRPr="00926999">
        <w:rPr>
          <w:rFonts w:ascii="Times New Roman" w:eastAsia="Calibri" w:hAnsi="Times New Roman" w:cs="Times New Roman"/>
          <w:i/>
          <w:sz w:val="24"/>
          <w:szCs w:val="24"/>
        </w:rPr>
        <w:t>Mandataires d’assurance, Mandataires d’intermédiaires d’assurance, salariés</w:t>
      </w:r>
    </w:p>
    <w:p w14:paraId="31764D39" w14:textId="77777777" w:rsidR="00926999" w:rsidRPr="00926999" w:rsidRDefault="00926999" w:rsidP="00926999">
      <w:pPr>
        <w:spacing w:after="200" w:line="276" w:lineRule="auto"/>
        <w:jc w:val="both"/>
        <w:rPr>
          <w:rFonts w:ascii="Times New Roman" w:eastAsia="Calibri" w:hAnsi="Times New Roman" w:cs="Times New Roman"/>
          <w:sz w:val="24"/>
          <w:szCs w:val="24"/>
        </w:rPr>
      </w:pPr>
      <w:r w:rsidRPr="00926999">
        <w:rPr>
          <w:rFonts w:ascii="Times New Roman" w:eastAsia="Calibri" w:hAnsi="Times New Roman" w:cs="Times New Roman"/>
          <w:sz w:val="24"/>
          <w:szCs w:val="24"/>
        </w:rPr>
        <w:t>En application de l’article A 512-10 (I 1°) le candidat stagiaire devra avoir suivi, durant la période de 150 heures, une formation lui permettant d’acquérir les connaissances visées dans au moins trois des quatre unités visées ci-dessous, dont obligatoirement les unités 1 et 2.</w:t>
      </w:r>
    </w:p>
    <w:p w14:paraId="227D40ED" w14:textId="77777777" w:rsidR="00926999" w:rsidRPr="00926999" w:rsidRDefault="00926999" w:rsidP="00926999">
      <w:pPr>
        <w:spacing w:after="200" w:line="276" w:lineRule="auto"/>
        <w:jc w:val="center"/>
        <w:rPr>
          <w:rFonts w:ascii="Times New Roman" w:eastAsia="Calibri" w:hAnsi="Times New Roman" w:cs="Times New Roman"/>
          <w:sz w:val="24"/>
          <w:szCs w:val="24"/>
        </w:rPr>
      </w:pPr>
      <w:r w:rsidRPr="00926999">
        <w:rPr>
          <w:rFonts w:ascii="Times New Roman" w:eastAsia="Calibri" w:hAnsi="Times New Roman" w:cs="Times New Roman"/>
          <w:b/>
          <w:bCs/>
          <w:sz w:val="24"/>
          <w:szCs w:val="24"/>
        </w:rPr>
        <w:t>Unité 1 : Les savoirs généraux</w:t>
      </w:r>
    </w:p>
    <w:p w14:paraId="3A3086E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1 La présentation du secteur de l’assurance</w:t>
      </w:r>
    </w:p>
    <w:p w14:paraId="72B5598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1. 1 Définition de l’opération d’assurance.</w:t>
      </w:r>
    </w:p>
    <w:p w14:paraId="3239C1E1"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1. 2 Rôle économique et social de l’assurance.</w:t>
      </w:r>
    </w:p>
    <w:p w14:paraId="6CCFA33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1. 3 Les intervenants.</w:t>
      </w:r>
    </w:p>
    <w:p w14:paraId="74B4491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2 Les différentes catégories d’assurance</w:t>
      </w:r>
    </w:p>
    <w:p w14:paraId="436503D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2. 1 Assurances de personnes / assurances de biens et de responsabilité.</w:t>
      </w:r>
    </w:p>
    <w:p w14:paraId="1551657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2. 2 Assurances individuelles / assurances collectives.</w:t>
      </w:r>
    </w:p>
    <w:p w14:paraId="6EAF3517"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2. 3 Assurances obligatoires / assurances facultatives.</w:t>
      </w:r>
    </w:p>
    <w:p w14:paraId="5294948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2. 4 Assurances à caractère indemnitaire / assurances à caractère forfaitaire.</w:t>
      </w:r>
    </w:p>
    <w:p w14:paraId="29133C3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2. 5 Assurances gérées en répartition / assurances gérées en capitalisation.</w:t>
      </w:r>
    </w:p>
    <w:p w14:paraId="61FABC4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L’intermédiation en assurance</w:t>
      </w:r>
    </w:p>
    <w:p w14:paraId="6B162B5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1 Le champ d’application de la réglementation.</w:t>
      </w:r>
    </w:p>
    <w:p w14:paraId="4C8974E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2 les différentes catégories d’intervenants dans l’intermédiation.</w:t>
      </w:r>
    </w:p>
    <w:p w14:paraId="5055D8A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lastRenderedPageBreak/>
        <w:t>1. 3. 3 Les conditions d’accès et d’exercice de l’activité d’intermédiation.</w:t>
      </w:r>
    </w:p>
    <w:p w14:paraId="086503EB"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4 La responsabilité des intermédiaires.</w:t>
      </w:r>
    </w:p>
    <w:p w14:paraId="2653F6E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5 Le contrôle et les sanctions.</w:t>
      </w:r>
    </w:p>
    <w:p w14:paraId="7E34066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3. 6 Les modes de distribution réglementés.</w:t>
      </w:r>
    </w:p>
    <w:p w14:paraId="2CE5D13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La relation avec le client</w:t>
      </w:r>
    </w:p>
    <w:p w14:paraId="07980F5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1 Les informations à communiquer au client : informations précontractuelles, informations contractuelles, informations concernant l’intermédiaire.</w:t>
      </w:r>
    </w:p>
    <w:p w14:paraId="6F902BD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2 Le conseil adapté, la formalisation du conseil, le suivi du client.</w:t>
      </w:r>
    </w:p>
    <w:p w14:paraId="08EF487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3 La survenance et la gestion de l’événement garanti.</w:t>
      </w:r>
    </w:p>
    <w:p w14:paraId="5EBB402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4 La protection du consommateur.</w:t>
      </w:r>
    </w:p>
    <w:p w14:paraId="509963A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5 Les modes de règlement des litiges.</w:t>
      </w:r>
    </w:p>
    <w:p w14:paraId="2791A43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4. 6 La déontologie.</w:t>
      </w:r>
    </w:p>
    <w:p w14:paraId="1955869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La lutte contre le blanchiment</w:t>
      </w:r>
    </w:p>
    <w:p w14:paraId="0118C93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1 La vérification d’identité.</w:t>
      </w:r>
    </w:p>
    <w:p w14:paraId="2EECEB1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2 La déclaration de soupçon.</w:t>
      </w:r>
    </w:p>
    <w:p w14:paraId="5203F1E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1. 5. 3 Les procédures internes.</w:t>
      </w:r>
    </w:p>
    <w:p w14:paraId="7C650040" w14:textId="77777777" w:rsidR="00926999" w:rsidRPr="00926999" w:rsidRDefault="00926999" w:rsidP="00926999">
      <w:pPr>
        <w:spacing w:after="200" w:line="276" w:lineRule="auto"/>
        <w:jc w:val="center"/>
        <w:rPr>
          <w:rFonts w:ascii="Times New Roman" w:eastAsia="Calibri" w:hAnsi="Times New Roman" w:cs="Times New Roman"/>
          <w:sz w:val="24"/>
          <w:szCs w:val="24"/>
        </w:rPr>
      </w:pPr>
      <w:r w:rsidRPr="00926999">
        <w:rPr>
          <w:rFonts w:ascii="Times New Roman" w:eastAsia="Calibri" w:hAnsi="Times New Roman" w:cs="Times New Roman"/>
          <w:b/>
          <w:bCs/>
          <w:sz w:val="24"/>
          <w:szCs w:val="24"/>
        </w:rPr>
        <w:t>Unité 2 : Les assurances de personnes incapacité-invalidité-décès-dépendance-santé</w:t>
      </w:r>
    </w:p>
    <w:p w14:paraId="49C79607"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L’assurance contre les risques corporels</w:t>
      </w:r>
      <w:r w:rsidRPr="00926999">
        <w:rPr>
          <w:rFonts w:ascii="Times New Roman" w:eastAsia="Calibri" w:hAnsi="Times New Roman" w:cs="Times New Roman"/>
          <w:sz w:val="24"/>
          <w:szCs w:val="24"/>
        </w:rPr>
        <w:br/>
        <w:t>(incapacité-invalidité-décès)</w:t>
      </w:r>
    </w:p>
    <w:p w14:paraId="08D3714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1 Les règles de la sécurité sociale.</w:t>
      </w:r>
    </w:p>
    <w:p w14:paraId="32AD3F0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2 Les conditions de souscription et de tarification.</w:t>
      </w:r>
    </w:p>
    <w:p w14:paraId="3B57DD0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3 Les garanties et les exclusions.</w:t>
      </w:r>
    </w:p>
    <w:p w14:paraId="34C6A46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4 Les prestations et leur règlement.</w:t>
      </w:r>
    </w:p>
    <w:p w14:paraId="439D642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1. 5 Les spécificités de l’assurance emprunteur.</w:t>
      </w:r>
    </w:p>
    <w:p w14:paraId="0818CFA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La dépendance</w:t>
      </w:r>
    </w:p>
    <w:p w14:paraId="3AE2906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1 Le risque dépendance.</w:t>
      </w:r>
    </w:p>
    <w:p w14:paraId="20C9D63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2 Les conditions de souscription et de tarification.</w:t>
      </w:r>
    </w:p>
    <w:p w14:paraId="7A2BFB4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lastRenderedPageBreak/>
        <w:t>2. 2. 3 Les garanties et leurs limites.</w:t>
      </w:r>
    </w:p>
    <w:p w14:paraId="0453EA4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4 Les prestations et leur règlement</w:t>
      </w:r>
    </w:p>
    <w:p w14:paraId="22504A3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2. 5 Les services à la personne et les prestations d’assistance.</w:t>
      </w:r>
    </w:p>
    <w:p w14:paraId="7D3CDDD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L’assurance complémentaire santé</w:t>
      </w:r>
    </w:p>
    <w:p w14:paraId="2316D56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1 L’articulation de l’assurance maladie obligatoire et de l’assurance maladie complémentaire.</w:t>
      </w:r>
    </w:p>
    <w:p w14:paraId="3E066E1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2 Les contrats responsables.</w:t>
      </w:r>
    </w:p>
    <w:p w14:paraId="17BB659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3 Les conditions de souscription et de tarification.</w:t>
      </w:r>
    </w:p>
    <w:p w14:paraId="0B3532E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4 Les garanties et les exclusions.</w:t>
      </w:r>
    </w:p>
    <w:p w14:paraId="12EE10E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5 Les prestations.</w:t>
      </w:r>
    </w:p>
    <w:p w14:paraId="520BFB2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2. 3. 6 Les modes de règlement.</w:t>
      </w:r>
    </w:p>
    <w:p w14:paraId="30AE398B" w14:textId="77777777" w:rsidR="00926999" w:rsidRPr="00926999" w:rsidRDefault="00926999" w:rsidP="00926999">
      <w:pPr>
        <w:spacing w:after="200" w:line="276" w:lineRule="auto"/>
        <w:jc w:val="center"/>
        <w:rPr>
          <w:rFonts w:ascii="Times New Roman" w:eastAsia="Calibri" w:hAnsi="Times New Roman" w:cs="Times New Roman"/>
          <w:sz w:val="24"/>
          <w:szCs w:val="24"/>
        </w:rPr>
      </w:pPr>
      <w:r w:rsidRPr="00926999">
        <w:rPr>
          <w:rFonts w:ascii="Times New Roman" w:eastAsia="Calibri" w:hAnsi="Times New Roman" w:cs="Times New Roman"/>
          <w:b/>
          <w:bCs/>
          <w:sz w:val="24"/>
          <w:szCs w:val="24"/>
        </w:rPr>
        <w:t>Unité 3 : les assurances de personnes : assurances vie et capitalisation</w:t>
      </w:r>
    </w:p>
    <w:p w14:paraId="26E25C7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1. La prise en compte des besoins</w:t>
      </w:r>
    </w:p>
    <w:p w14:paraId="550137D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1. 1 Les composantes du patrimoine.</w:t>
      </w:r>
    </w:p>
    <w:p w14:paraId="2AC6FB7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1. 2 Les régimes matrimoniaux et successoraux.</w:t>
      </w:r>
    </w:p>
    <w:p w14:paraId="2EA989A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1. 3 Les régimes obligatoires de retraite, la retraite complémentaire et surcomplémentaire.</w:t>
      </w:r>
    </w:p>
    <w:p w14:paraId="39119BF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2. Les principales catégories de contrats</w:t>
      </w:r>
    </w:p>
    <w:p w14:paraId="7399083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2. 1 Assurances en cas de vie / assurances en cas de décès / assurances mixtes.</w:t>
      </w:r>
    </w:p>
    <w:p w14:paraId="50DD8D6F"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2. 2 Contrats en euros et contrats en unités de compte.</w:t>
      </w:r>
    </w:p>
    <w:p w14:paraId="5E87B89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Les spécificités</w:t>
      </w:r>
    </w:p>
    <w:p w14:paraId="17C217F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1 La souscription du contrat.</w:t>
      </w:r>
    </w:p>
    <w:p w14:paraId="0C1ED3D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2 Le paiement de la cotisation.</w:t>
      </w:r>
    </w:p>
    <w:p w14:paraId="15B0FEC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3 Le règlement des prestations.</w:t>
      </w:r>
    </w:p>
    <w:p w14:paraId="4229CEF6"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3. 3. 4 La fiscalité.</w:t>
      </w:r>
    </w:p>
    <w:p w14:paraId="58F58A95" w14:textId="77777777" w:rsidR="00926999" w:rsidRPr="00926999" w:rsidRDefault="00926999" w:rsidP="00926999">
      <w:pPr>
        <w:spacing w:after="200" w:line="276" w:lineRule="auto"/>
        <w:jc w:val="center"/>
        <w:rPr>
          <w:rFonts w:ascii="Times New Roman" w:eastAsia="Calibri" w:hAnsi="Times New Roman" w:cs="Times New Roman"/>
          <w:sz w:val="24"/>
          <w:szCs w:val="24"/>
        </w:rPr>
      </w:pPr>
      <w:r w:rsidRPr="00926999">
        <w:rPr>
          <w:rFonts w:ascii="Times New Roman" w:eastAsia="Calibri" w:hAnsi="Times New Roman" w:cs="Times New Roman"/>
          <w:b/>
          <w:bCs/>
          <w:sz w:val="24"/>
          <w:szCs w:val="24"/>
        </w:rPr>
        <w:t>Unité 4 : assurances de biens et de responsabilité</w:t>
      </w:r>
    </w:p>
    <w:p w14:paraId="5ED2607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L’appréciation et la sélection du risque</w:t>
      </w:r>
    </w:p>
    <w:p w14:paraId="47CB1250"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1 L’identification des besoins</w:t>
      </w:r>
    </w:p>
    <w:p w14:paraId="548A6E8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lastRenderedPageBreak/>
        <w:t>4. 1. 2 L’appréciation des risques encourus.</w:t>
      </w:r>
    </w:p>
    <w:p w14:paraId="5DBF780D"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3 Les critères d’acceptation d’un risque.</w:t>
      </w:r>
    </w:p>
    <w:p w14:paraId="156D7559"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1. 4 La prévention et la protection.</w:t>
      </w:r>
    </w:p>
    <w:p w14:paraId="233B9D04"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Les différents types de contrats</w:t>
      </w:r>
    </w:p>
    <w:p w14:paraId="41037972"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1 L’assurance automobile.</w:t>
      </w:r>
    </w:p>
    <w:p w14:paraId="3D56DFD5"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2 Les multirisques « standard ».</w:t>
      </w:r>
    </w:p>
    <w:p w14:paraId="48D5CAEA"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3 Les assurances de responsabilité civile.</w:t>
      </w:r>
    </w:p>
    <w:p w14:paraId="4CD6595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4 La protection juridique.</w:t>
      </w:r>
    </w:p>
    <w:p w14:paraId="562EFCE8"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2. 5 L’assistance.</w:t>
      </w:r>
    </w:p>
    <w:p w14:paraId="63A92BFE"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3 La présentation des garanties et la tarification</w:t>
      </w:r>
    </w:p>
    <w:p w14:paraId="6C0995B3"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4 La vie du contrat</w:t>
      </w:r>
    </w:p>
    <w:p w14:paraId="46C0D97B"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4. 1 Le paiement des cotisations.</w:t>
      </w:r>
    </w:p>
    <w:p w14:paraId="6F641B6C" w14:textId="77777777" w:rsidR="00926999" w:rsidRPr="00926999" w:rsidRDefault="00926999" w:rsidP="00926999">
      <w:pPr>
        <w:spacing w:after="200" w:line="276" w:lineRule="auto"/>
        <w:rPr>
          <w:rFonts w:ascii="Times New Roman" w:eastAsia="Calibri" w:hAnsi="Times New Roman" w:cs="Times New Roman"/>
          <w:sz w:val="24"/>
          <w:szCs w:val="24"/>
        </w:rPr>
      </w:pPr>
      <w:r w:rsidRPr="00926999">
        <w:rPr>
          <w:rFonts w:ascii="Times New Roman" w:eastAsia="Calibri" w:hAnsi="Times New Roman" w:cs="Times New Roman"/>
          <w:sz w:val="24"/>
          <w:szCs w:val="24"/>
        </w:rPr>
        <w:t>4. 4. 2 Le règlement des sinistres.</w:t>
      </w:r>
    </w:p>
    <w:p w14:paraId="00EDCD17" w14:textId="77777777" w:rsidR="00926999" w:rsidRDefault="00926999" w:rsidP="00926999">
      <w:pPr>
        <w:jc w:val="center"/>
        <w:rPr>
          <w:rFonts w:ascii="Times New Roman" w:hAnsi="Times New Roman"/>
          <w:b/>
          <w:sz w:val="24"/>
          <w:szCs w:val="24"/>
          <w:u w:val="single"/>
        </w:rPr>
      </w:pPr>
    </w:p>
    <w:p w14:paraId="751572C2" w14:textId="78820ABB" w:rsidR="00926999" w:rsidRDefault="00926999">
      <w:r>
        <w:br w:type="page"/>
      </w:r>
    </w:p>
    <w:p w14:paraId="4F22DE08" w14:textId="77777777" w:rsidR="002E1A92" w:rsidRDefault="002E1A92" w:rsidP="00926999">
      <w:pPr>
        <w:spacing w:after="200" w:line="276" w:lineRule="auto"/>
        <w:ind w:right="425"/>
        <w:jc w:val="center"/>
        <w:rPr>
          <w:rFonts w:ascii="Times New Roman" w:eastAsia="Calibri" w:hAnsi="Times New Roman" w:cs="Times New Roman"/>
          <w:b/>
          <w:sz w:val="24"/>
          <w:szCs w:val="24"/>
        </w:rPr>
        <w:sectPr w:rsidR="002E1A92">
          <w:headerReference w:type="default" r:id="rId56"/>
          <w:footerReference w:type="default" r:id="rId57"/>
          <w:pgSz w:w="11906" w:h="16838"/>
          <w:pgMar w:top="1417" w:right="1417" w:bottom="1417" w:left="1417" w:header="708" w:footer="708" w:gutter="0"/>
          <w:cols w:space="708"/>
          <w:docGrid w:linePitch="360"/>
        </w:sectPr>
      </w:pPr>
    </w:p>
    <w:p w14:paraId="525D5A39" w14:textId="4FAB659B" w:rsidR="00926999" w:rsidRPr="008A157C" w:rsidRDefault="00926999" w:rsidP="008A157C">
      <w:pPr>
        <w:jc w:val="center"/>
        <w:rPr>
          <w:rFonts w:ascii="Times New Roman" w:hAnsi="Times New Roman" w:cs="Times New Roman"/>
          <w:b/>
          <w:sz w:val="28"/>
          <w:szCs w:val="28"/>
        </w:rPr>
      </w:pPr>
      <w:r w:rsidRPr="008A157C">
        <w:rPr>
          <w:rFonts w:ascii="Times New Roman" w:hAnsi="Times New Roman" w:cs="Times New Roman"/>
          <w:b/>
          <w:sz w:val="28"/>
          <w:szCs w:val="28"/>
        </w:rPr>
        <w:lastRenderedPageBreak/>
        <w:t>Annexe 5-3 (article A. 522-1)</w:t>
      </w:r>
    </w:p>
    <w:p w14:paraId="72F40D09" w14:textId="77777777" w:rsidR="002E1A92" w:rsidRPr="002E1A92" w:rsidRDefault="002E1A92" w:rsidP="002E1A92">
      <w:pPr>
        <w:spacing w:after="200" w:line="276" w:lineRule="auto"/>
        <w:rPr>
          <w:rFonts w:ascii="Times New Roman" w:eastAsia="Calibri" w:hAnsi="Times New Roman" w:cs="Times New Roman"/>
          <w:sz w:val="24"/>
          <w:szCs w:val="24"/>
        </w:rPr>
      </w:pPr>
    </w:p>
    <w:tbl>
      <w:tblPr>
        <w:tblW w:w="11908" w:type="dxa"/>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1276"/>
        <w:gridCol w:w="1276"/>
        <w:gridCol w:w="1275"/>
        <w:gridCol w:w="1418"/>
        <w:gridCol w:w="1559"/>
        <w:gridCol w:w="1559"/>
        <w:gridCol w:w="1560"/>
      </w:tblGrid>
      <w:tr w:rsidR="002E1A92" w:rsidRPr="002E1A92" w14:paraId="73D3F38F" w14:textId="77777777" w:rsidTr="00680C88">
        <w:tc>
          <w:tcPr>
            <w:tcW w:w="993" w:type="dxa"/>
            <w:shd w:val="clear" w:color="auto" w:fill="DDD9C3"/>
          </w:tcPr>
          <w:p w14:paraId="17A4F4F4"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Code ISIN</w:t>
            </w:r>
          </w:p>
        </w:tc>
        <w:tc>
          <w:tcPr>
            <w:tcW w:w="992" w:type="dxa"/>
            <w:shd w:val="clear" w:color="auto" w:fill="DDD9C3"/>
          </w:tcPr>
          <w:p w14:paraId="2E55F0A9"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Libellé</w:t>
            </w:r>
          </w:p>
        </w:tc>
        <w:tc>
          <w:tcPr>
            <w:tcW w:w="1276" w:type="dxa"/>
            <w:shd w:val="clear" w:color="auto" w:fill="DDD9C3"/>
          </w:tcPr>
          <w:p w14:paraId="31FE49D4"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Société de gestion</w:t>
            </w:r>
          </w:p>
        </w:tc>
        <w:tc>
          <w:tcPr>
            <w:tcW w:w="1276" w:type="dxa"/>
            <w:shd w:val="clear" w:color="auto" w:fill="DDD9C3"/>
          </w:tcPr>
          <w:p w14:paraId="036319F8"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Performance brute de l’actif N-1 (A)</w:t>
            </w:r>
          </w:p>
        </w:tc>
        <w:tc>
          <w:tcPr>
            <w:tcW w:w="1275" w:type="dxa"/>
            <w:shd w:val="clear" w:color="auto" w:fill="DDD9C3"/>
          </w:tcPr>
          <w:p w14:paraId="0BE7EB4E"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Frais de gestion de l’actif (B)</w:t>
            </w:r>
          </w:p>
        </w:tc>
        <w:tc>
          <w:tcPr>
            <w:tcW w:w="1418" w:type="dxa"/>
            <w:shd w:val="clear" w:color="auto" w:fill="DDD9C3"/>
          </w:tcPr>
          <w:p w14:paraId="5B3AC941"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Performance nette de l’unité de compte N-1 (A-B)</w:t>
            </w:r>
          </w:p>
        </w:tc>
        <w:tc>
          <w:tcPr>
            <w:tcW w:w="1559" w:type="dxa"/>
            <w:shd w:val="clear" w:color="auto" w:fill="DDD9C3"/>
          </w:tcPr>
          <w:p w14:paraId="7947AC1C"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Frais de gestion du contrat (C)</w:t>
            </w:r>
          </w:p>
        </w:tc>
        <w:tc>
          <w:tcPr>
            <w:tcW w:w="1559" w:type="dxa"/>
            <w:shd w:val="clear" w:color="auto" w:fill="DDD9C3"/>
          </w:tcPr>
          <w:p w14:paraId="4DA2A4C8"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Performance finale</w:t>
            </w:r>
          </w:p>
          <w:p w14:paraId="73987B2C"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(A-B-C)</w:t>
            </w:r>
          </w:p>
        </w:tc>
        <w:tc>
          <w:tcPr>
            <w:tcW w:w="1560" w:type="dxa"/>
            <w:shd w:val="clear" w:color="auto" w:fill="DDD9C3"/>
          </w:tcPr>
          <w:p w14:paraId="3BBA441D"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 xml:space="preserve">Taux de rétrocession de commission </w:t>
            </w:r>
          </w:p>
        </w:tc>
      </w:tr>
      <w:tr w:rsidR="002E1A92" w:rsidRPr="002E1A92" w14:paraId="16028D56" w14:textId="77777777" w:rsidTr="00680C88">
        <w:trPr>
          <w:trHeight w:val="1003"/>
        </w:trPr>
        <w:tc>
          <w:tcPr>
            <w:tcW w:w="993" w:type="dxa"/>
          </w:tcPr>
          <w:p w14:paraId="2533ABCA"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FRXXXXXXXXXX</w:t>
            </w:r>
          </w:p>
        </w:tc>
        <w:tc>
          <w:tcPr>
            <w:tcW w:w="992" w:type="dxa"/>
          </w:tcPr>
          <w:p w14:paraId="4A521B28"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XXX</w:t>
            </w:r>
          </w:p>
        </w:tc>
        <w:tc>
          <w:tcPr>
            <w:tcW w:w="1276" w:type="dxa"/>
          </w:tcPr>
          <w:p w14:paraId="4AE89EE7" w14:textId="77777777" w:rsidR="002E1A92" w:rsidRPr="002E1A92" w:rsidRDefault="002E1A92" w:rsidP="002E1A92">
            <w:pPr>
              <w:spacing w:after="200" w:line="276" w:lineRule="auto"/>
              <w:rPr>
                <w:rFonts w:ascii="Times New Roman" w:eastAsia="Calibri" w:hAnsi="Times New Roman" w:cs="Times New Roman"/>
                <w:sz w:val="24"/>
                <w:szCs w:val="24"/>
              </w:rPr>
            </w:pPr>
            <w:r w:rsidRPr="002E1A92">
              <w:rPr>
                <w:rFonts w:ascii="Times New Roman" w:eastAsia="Calibri" w:hAnsi="Times New Roman" w:cs="Times New Roman"/>
                <w:sz w:val="24"/>
                <w:szCs w:val="24"/>
              </w:rPr>
              <w:t>XXX</w:t>
            </w:r>
          </w:p>
        </w:tc>
        <w:tc>
          <w:tcPr>
            <w:tcW w:w="1276" w:type="dxa"/>
          </w:tcPr>
          <w:p w14:paraId="5924E7CC" w14:textId="77777777" w:rsidR="002E1A92" w:rsidRPr="002E1A92" w:rsidRDefault="002E1A92" w:rsidP="002E1A92">
            <w:pPr>
              <w:spacing w:after="200" w:line="276" w:lineRule="auto"/>
              <w:rPr>
                <w:rFonts w:ascii="Times New Roman" w:eastAsia="Calibri" w:hAnsi="Times New Roman" w:cs="Times New Roman"/>
                <w:sz w:val="24"/>
                <w:szCs w:val="24"/>
                <w:highlight w:val="yellow"/>
              </w:rPr>
            </w:pPr>
            <w:r w:rsidRPr="002E1A92">
              <w:rPr>
                <w:rFonts w:ascii="Times New Roman" w:eastAsia="Calibri" w:hAnsi="Times New Roman" w:cs="Times New Roman"/>
                <w:sz w:val="24"/>
                <w:szCs w:val="24"/>
                <w:highlight w:val="yellow"/>
              </w:rPr>
              <w:t>5%</w:t>
            </w:r>
          </w:p>
        </w:tc>
        <w:tc>
          <w:tcPr>
            <w:tcW w:w="1275" w:type="dxa"/>
          </w:tcPr>
          <w:p w14:paraId="77DD5BD1" w14:textId="77777777" w:rsidR="002E1A92" w:rsidRPr="002E1A92" w:rsidRDefault="002E1A92" w:rsidP="002E1A92">
            <w:pPr>
              <w:spacing w:after="200" w:line="276" w:lineRule="auto"/>
              <w:rPr>
                <w:rFonts w:ascii="Times New Roman" w:eastAsia="Calibri" w:hAnsi="Times New Roman" w:cs="Times New Roman"/>
                <w:sz w:val="24"/>
                <w:szCs w:val="24"/>
                <w:highlight w:val="yellow"/>
              </w:rPr>
            </w:pPr>
            <w:r w:rsidRPr="002E1A92">
              <w:rPr>
                <w:rFonts w:ascii="Times New Roman" w:eastAsia="Calibri" w:hAnsi="Times New Roman" w:cs="Times New Roman"/>
                <w:sz w:val="24"/>
                <w:szCs w:val="24"/>
                <w:highlight w:val="yellow"/>
              </w:rPr>
              <w:t>1,5%</w:t>
            </w:r>
          </w:p>
        </w:tc>
        <w:tc>
          <w:tcPr>
            <w:tcW w:w="1418" w:type="dxa"/>
          </w:tcPr>
          <w:p w14:paraId="0218518C" w14:textId="77777777" w:rsidR="002E1A92" w:rsidRPr="002E1A92" w:rsidRDefault="002E1A92" w:rsidP="002E1A92">
            <w:pPr>
              <w:spacing w:after="200" w:line="276" w:lineRule="auto"/>
              <w:rPr>
                <w:rFonts w:ascii="Times New Roman" w:eastAsia="Calibri" w:hAnsi="Times New Roman" w:cs="Times New Roman"/>
                <w:sz w:val="24"/>
                <w:szCs w:val="24"/>
                <w:highlight w:val="yellow"/>
              </w:rPr>
            </w:pPr>
            <w:r w:rsidRPr="002E1A92">
              <w:rPr>
                <w:rFonts w:ascii="Times New Roman" w:eastAsia="Calibri" w:hAnsi="Times New Roman" w:cs="Times New Roman"/>
                <w:sz w:val="24"/>
                <w:szCs w:val="24"/>
                <w:highlight w:val="yellow"/>
              </w:rPr>
              <w:t>3,5%</w:t>
            </w:r>
          </w:p>
        </w:tc>
        <w:tc>
          <w:tcPr>
            <w:tcW w:w="1559" w:type="dxa"/>
          </w:tcPr>
          <w:p w14:paraId="79FD1BA2" w14:textId="77777777" w:rsidR="002E1A92" w:rsidRPr="002E1A92" w:rsidRDefault="002E1A92" w:rsidP="002E1A92">
            <w:pPr>
              <w:spacing w:after="200" w:line="276" w:lineRule="auto"/>
              <w:rPr>
                <w:rFonts w:ascii="Times New Roman" w:eastAsia="Calibri" w:hAnsi="Times New Roman" w:cs="Times New Roman"/>
                <w:sz w:val="24"/>
                <w:szCs w:val="24"/>
                <w:highlight w:val="yellow"/>
              </w:rPr>
            </w:pPr>
            <w:r w:rsidRPr="002E1A92">
              <w:rPr>
                <w:rFonts w:ascii="Times New Roman" w:eastAsia="Calibri" w:hAnsi="Times New Roman" w:cs="Times New Roman"/>
                <w:sz w:val="24"/>
                <w:szCs w:val="24"/>
                <w:highlight w:val="yellow"/>
              </w:rPr>
              <w:t>1%</w:t>
            </w:r>
          </w:p>
        </w:tc>
        <w:tc>
          <w:tcPr>
            <w:tcW w:w="1559" w:type="dxa"/>
          </w:tcPr>
          <w:p w14:paraId="7E1A0365" w14:textId="77777777" w:rsidR="002E1A92" w:rsidRPr="002E1A92" w:rsidRDefault="002E1A92" w:rsidP="002E1A92">
            <w:pPr>
              <w:spacing w:after="200" w:line="276" w:lineRule="auto"/>
              <w:rPr>
                <w:rFonts w:ascii="Times New Roman" w:eastAsia="Calibri" w:hAnsi="Times New Roman" w:cs="Times New Roman"/>
                <w:sz w:val="24"/>
                <w:szCs w:val="24"/>
                <w:highlight w:val="yellow"/>
              </w:rPr>
            </w:pPr>
            <w:r w:rsidRPr="002E1A92">
              <w:rPr>
                <w:rFonts w:ascii="Times New Roman" w:eastAsia="Calibri" w:hAnsi="Times New Roman" w:cs="Times New Roman"/>
                <w:sz w:val="24"/>
                <w:szCs w:val="24"/>
                <w:highlight w:val="yellow"/>
              </w:rPr>
              <w:t>2,5%</w:t>
            </w:r>
          </w:p>
        </w:tc>
        <w:tc>
          <w:tcPr>
            <w:tcW w:w="1560" w:type="dxa"/>
          </w:tcPr>
          <w:p w14:paraId="4701400A" w14:textId="77777777" w:rsidR="002E1A92" w:rsidRPr="002E1A92" w:rsidRDefault="002E1A92" w:rsidP="002E1A92">
            <w:pPr>
              <w:spacing w:after="200" w:line="276" w:lineRule="auto"/>
              <w:rPr>
                <w:rFonts w:ascii="Times New Roman" w:eastAsia="Calibri" w:hAnsi="Times New Roman" w:cs="Times New Roman"/>
                <w:sz w:val="24"/>
                <w:szCs w:val="24"/>
                <w:highlight w:val="yellow"/>
              </w:rPr>
            </w:pPr>
            <w:r w:rsidRPr="002E1A92">
              <w:rPr>
                <w:rFonts w:ascii="Times New Roman" w:eastAsia="Calibri" w:hAnsi="Times New Roman" w:cs="Times New Roman"/>
                <w:sz w:val="24"/>
                <w:szCs w:val="24"/>
                <w:highlight w:val="yellow"/>
              </w:rPr>
              <w:t>1%</w:t>
            </w:r>
          </w:p>
        </w:tc>
      </w:tr>
    </w:tbl>
    <w:p w14:paraId="7AF4DD94" w14:textId="77777777" w:rsidR="002E1A92" w:rsidRPr="002E1A92" w:rsidRDefault="002E1A92" w:rsidP="002E1A92">
      <w:pPr>
        <w:spacing w:after="200" w:line="276" w:lineRule="auto"/>
        <w:rPr>
          <w:rFonts w:ascii="Calibri" w:eastAsia="Calibri" w:hAnsi="Calibri" w:cs="Times New Roman"/>
        </w:rPr>
      </w:pPr>
    </w:p>
    <w:p w14:paraId="38A47D1D" w14:textId="77777777" w:rsidR="002E1A92" w:rsidRPr="00926999" w:rsidRDefault="002E1A92" w:rsidP="00926999">
      <w:pPr>
        <w:spacing w:after="200" w:line="276" w:lineRule="auto"/>
        <w:ind w:right="425"/>
        <w:jc w:val="center"/>
        <w:rPr>
          <w:rFonts w:ascii="Times New Roman" w:eastAsia="Calibri" w:hAnsi="Times New Roman" w:cs="Times New Roman"/>
          <w:b/>
          <w:sz w:val="24"/>
          <w:szCs w:val="24"/>
        </w:rPr>
      </w:pPr>
    </w:p>
    <w:p w14:paraId="625B30C5" w14:textId="77777777" w:rsidR="00926999" w:rsidRPr="00926999" w:rsidRDefault="00926999" w:rsidP="00926999">
      <w:pPr>
        <w:spacing w:after="200" w:line="276" w:lineRule="auto"/>
        <w:rPr>
          <w:rFonts w:ascii="Times New Roman" w:eastAsia="Calibri" w:hAnsi="Times New Roman" w:cs="Times New Roman"/>
          <w:sz w:val="24"/>
          <w:szCs w:val="24"/>
        </w:rPr>
      </w:pPr>
    </w:p>
    <w:p w14:paraId="094364B0" w14:textId="77777777" w:rsidR="002E1A92" w:rsidRDefault="002E1A92" w:rsidP="00926999">
      <w:pPr>
        <w:spacing w:after="200" w:line="276" w:lineRule="auto"/>
        <w:rPr>
          <w:rFonts w:ascii="Calibri" w:eastAsia="Calibri" w:hAnsi="Calibri" w:cs="Times New Roman"/>
        </w:rPr>
        <w:sectPr w:rsidR="002E1A92" w:rsidSect="002E1A92">
          <w:pgSz w:w="16838" w:h="11906" w:orient="landscape"/>
          <w:pgMar w:top="1418" w:right="1418" w:bottom="1418" w:left="1418" w:header="709" w:footer="709" w:gutter="0"/>
          <w:cols w:space="708"/>
          <w:docGrid w:linePitch="360"/>
        </w:sectPr>
      </w:pPr>
    </w:p>
    <w:p w14:paraId="3EA1A572" w14:textId="07ACBFB6" w:rsidR="00926999" w:rsidRPr="00926999" w:rsidRDefault="00926999" w:rsidP="00926999">
      <w:pPr>
        <w:spacing w:after="200" w:line="276" w:lineRule="auto"/>
        <w:rPr>
          <w:rFonts w:ascii="Calibri" w:eastAsia="Calibri" w:hAnsi="Calibri" w:cs="Times New Roman"/>
        </w:rPr>
      </w:pPr>
    </w:p>
    <w:p w14:paraId="2FE2B254" w14:textId="77777777" w:rsidR="00926999" w:rsidRDefault="00926999" w:rsidP="00926999"/>
    <w:p w14:paraId="0A0C380B" w14:textId="77777777" w:rsidR="00F24BB4" w:rsidRPr="00913369" w:rsidRDefault="00F24BB4" w:rsidP="00F24BB4">
      <w:pPr>
        <w:spacing w:line="276" w:lineRule="auto"/>
        <w:jc w:val="both"/>
        <w:rPr>
          <w:rFonts w:ascii="Times New Roman" w:hAnsi="Times New Roman" w:cs="Times New Roman"/>
        </w:rPr>
      </w:pPr>
    </w:p>
    <w:p w14:paraId="0440DE10" w14:textId="4793B938" w:rsidR="00F24BB4" w:rsidRPr="00913369" w:rsidRDefault="00F24BB4" w:rsidP="00F24BB4">
      <w:pPr>
        <w:rPr>
          <w:rFonts w:ascii="Times New Roman" w:hAnsi="Times New Roman" w:cs="Times New Roman"/>
        </w:rPr>
      </w:pPr>
    </w:p>
    <w:sectPr w:rsidR="00F24BB4" w:rsidRPr="0091336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CD2FF" w14:textId="77777777" w:rsidR="001D5ED1" w:rsidRDefault="001D5ED1" w:rsidP="00F24BB4">
      <w:pPr>
        <w:spacing w:after="0" w:line="240" w:lineRule="auto"/>
      </w:pPr>
      <w:r>
        <w:separator/>
      </w:r>
    </w:p>
  </w:endnote>
  <w:endnote w:type="continuationSeparator" w:id="0">
    <w:p w14:paraId="02DEB32A" w14:textId="77777777" w:rsidR="001D5ED1" w:rsidRDefault="001D5ED1" w:rsidP="00F24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37492" w14:textId="77777777" w:rsidR="008525D6" w:rsidRDefault="008525D6" w:rsidP="008525D6">
    <w:pPr>
      <w:pStyle w:val="Pieddepage"/>
      <w:pBdr>
        <w:top w:val="single" w:sz="4" w:space="1" w:color="auto"/>
        <w:left w:val="single" w:sz="4" w:space="4" w:color="auto"/>
        <w:bottom w:val="single" w:sz="4" w:space="1" w:color="auto"/>
        <w:right w:val="single" w:sz="4" w:space="4" w:color="auto"/>
      </w:pBdr>
      <w:jc w:val="center"/>
      <w:rPr>
        <w:rStyle w:val="Numrodepage"/>
        <w:i/>
        <w:sz w:val="20"/>
        <w:szCs w:val="20"/>
      </w:rPr>
    </w:pPr>
  </w:p>
  <w:p w14:paraId="4A0BE865" w14:textId="77777777" w:rsidR="008525D6" w:rsidRDefault="008525D6" w:rsidP="008525D6">
    <w:pPr>
      <w:pStyle w:val="Pieddepage"/>
      <w:pBdr>
        <w:top w:val="single" w:sz="4" w:space="1" w:color="auto"/>
        <w:left w:val="single" w:sz="4" w:space="4" w:color="auto"/>
        <w:bottom w:val="single" w:sz="4" w:space="1" w:color="auto"/>
        <w:right w:val="single" w:sz="4" w:space="4" w:color="auto"/>
      </w:pBdr>
      <w:jc w:val="center"/>
      <w:rPr>
        <w:rStyle w:val="Numrodepage"/>
        <w:i/>
        <w:sz w:val="12"/>
      </w:rPr>
    </w:pPr>
    <w:r w:rsidRPr="00461D79">
      <w:rPr>
        <w:rStyle w:val="Numrodepage"/>
        <w:i/>
        <w:sz w:val="20"/>
        <w:szCs w:val="20"/>
      </w:rPr>
      <w:t xml:space="preserve">Direction générale des </w:t>
    </w:r>
    <w:r>
      <w:rPr>
        <w:rStyle w:val="Numrodepage"/>
        <w:i/>
        <w:sz w:val="20"/>
        <w:szCs w:val="20"/>
      </w:rPr>
      <w:t>affaires é</w:t>
    </w:r>
    <w:r w:rsidRPr="00461D79">
      <w:rPr>
        <w:rStyle w:val="Numrodepage"/>
        <w:i/>
        <w:sz w:val="20"/>
        <w:szCs w:val="20"/>
      </w:rPr>
      <w:t>conomiques</w:t>
    </w:r>
    <w:r w:rsidRPr="00461D79">
      <w:rPr>
        <w:rStyle w:val="Numrodepage"/>
        <w:i/>
        <w:sz w:val="12"/>
      </w:rPr>
      <w:t xml:space="preserve"> </w:t>
    </w:r>
  </w:p>
  <w:p w14:paraId="45DF3EFC" w14:textId="77777777" w:rsidR="008525D6" w:rsidRPr="00461D79" w:rsidRDefault="008525D6" w:rsidP="008525D6">
    <w:pPr>
      <w:pStyle w:val="Pieddepage"/>
      <w:pBdr>
        <w:top w:val="single" w:sz="4" w:space="1" w:color="auto"/>
        <w:left w:val="single" w:sz="4" w:space="4" w:color="auto"/>
        <w:bottom w:val="single" w:sz="4" w:space="1" w:color="auto"/>
        <w:right w:val="single" w:sz="4" w:space="4" w:color="auto"/>
      </w:pBdr>
      <w:jc w:val="center"/>
      <w:rPr>
        <w:rFonts w:ascii="Comic Sans MS" w:hAnsi="Comic Sans MS"/>
        <w:i/>
        <w:sz w:val="14"/>
        <w:szCs w:val="14"/>
      </w:rPr>
    </w:pPr>
  </w:p>
  <w:p w14:paraId="1555AE89" w14:textId="1B115D22" w:rsidR="000819C7" w:rsidRDefault="000819C7">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CC25E" w14:textId="77777777" w:rsidR="001D5ED1" w:rsidRDefault="001D5ED1" w:rsidP="00F24BB4">
      <w:pPr>
        <w:spacing w:after="0" w:line="240" w:lineRule="auto"/>
      </w:pPr>
      <w:r>
        <w:separator/>
      </w:r>
    </w:p>
  </w:footnote>
  <w:footnote w:type="continuationSeparator" w:id="0">
    <w:p w14:paraId="07E477EC" w14:textId="77777777" w:rsidR="001D5ED1" w:rsidRDefault="001D5ED1" w:rsidP="00F24BB4">
      <w:pPr>
        <w:spacing w:after="0" w:line="240" w:lineRule="auto"/>
      </w:pPr>
      <w:r>
        <w:continuationSeparator/>
      </w:r>
    </w:p>
  </w:footnote>
  <w:footnote w:id="1">
    <w:p w14:paraId="4BBF7CBF" w14:textId="77777777" w:rsidR="00680C88" w:rsidRDefault="00680C88" w:rsidP="00F24BB4">
      <w:pPr>
        <w:pStyle w:val="Notedebasdepage"/>
        <w:rPr>
          <w:strike/>
        </w:rPr>
      </w:pPr>
      <w:r>
        <w:rPr>
          <w:rStyle w:val="Appelnotedebasdep"/>
        </w:rPr>
        <w:footnoteRef/>
      </w:r>
      <w:r>
        <w:t xml:space="preserve"> Afin d’éviter des erreurs d’identification, notamment dans des cas d’homonymies</w:t>
      </w:r>
      <w:r>
        <w:rPr>
          <w:strike/>
        </w:rPr>
        <w:t>.</w:t>
      </w:r>
    </w:p>
  </w:footnote>
  <w:footnote w:id="2">
    <w:p w14:paraId="0C217E0A" w14:textId="77777777" w:rsidR="00680C88" w:rsidRDefault="00680C88" w:rsidP="00F24BB4">
      <w:pPr>
        <w:pStyle w:val="Notedebasdepage"/>
      </w:pPr>
      <w:r>
        <w:rPr>
          <w:rStyle w:val="Appelnotedebasdep"/>
        </w:rPr>
        <w:footnoteRef/>
      </w:r>
      <w:r>
        <w:t xml:space="preserve"> Pour les non francophones</w:t>
      </w:r>
    </w:p>
  </w:footnote>
  <w:footnote w:id="3">
    <w:p w14:paraId="7BECEB9E" w14:textId="77777777" w:rsidR="00680C88" w:rsidRDefault="00680C88" w:rsidP="00F24BB4">
      <w:pPr>
        <w:pStyle w:val="Notedebasdepage"/>
      </w:pPr>
      <w:r>
        <w:rPr>
          <w:rStyle w:val="Appelnotedebasdep"/>
        </w:rPr>
        <w:footnoteRef/>
      </w:r>
      <w:r>
        <w:t>un conjoint, un partenaire, un cohabitant, un enfant, un parent ou toute autre relation avec laquelle le candidat partage un logement..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939003"/>
      <w:docPartObj>
        <w:docPartGallery w:val="Page Numbers (Top of Page)"/>
        <w:docPartUnique/>
      </w:docPartObj>
    </w:sdtPr>
    <w:sdtEndPr/>
    <w:sdtContent>
      <w:p w14:paraId="30AA27EE" w14:textId="109E5D98" w:rsidR="008525D6" w:rsidRDefault="008525D6">
        <w:pPr>
          <w:pStyle w:val="En-tte"/>
          <w:jc w:val="center"/>
        </w:pPr>
        <w:r>
          <w:fldChar w:fldCharType="begin"/>
        </w:r>
        <w:r>
          <w:instrText>PAGE   \* MERGEFORMAT</w:instrText>
        </w:r>
        <w:r>
          <w:fldChar w:fldCharType="separate"/>
        </w:r>
        <w:r>
          <w:t>2</w:t>
        </w:r>
        <w:r>
          <w:fldChar w:fldCharType="end"/>
        </w:r>
      </w:p>
    </w:sdtContent>
  </w:sdt>
  <w:p w14:paraId="2165BD12" w14:textId="77777777" w:rsidR="000819C7" w:rsidRDefault="000819C7">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06EE"/>
    <w:multiLevelType w:val="hybridMultilevel"/>
    <w:tmpl w:val="10A838A4"/>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82188E"/>
    <w:multiLevelType w:val="hybridMultilevel"/>
    <w:tmpl w:val="804EA2D0"/>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615461"/>
    <w:multiLevelType w:val="hybridMultilevel"/>
    <w:tmpl w:val="8852274A"/>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806923"/>
    <w:multiLevelType w:val="hybridMultilevel"/>
    <w:tmpl w:val="52F4DADA"/>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74A1538"/>
    <w:multiLevelType w:val="hybridMultilevel"/>
    <w:tmpl w:val="8262838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1967DE0"/>
    <w:multiLevelType w:val="hybridMultilevel"/>
    <w:tmpl w:val="76CCD566"/>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6EE08BE"/>
    <w:multiLevelType w:val="hybridMultilevel"/>
    <w:tmpl w:val="44F4BCF4"/>
    <w:lvl w:ilvl="0" w:tplc="487886F8">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CEC6337"/>
    <w:multiLevelType w:val="hybridMultilevel"/>
    <w:tmpl w:val="7088ABAC"/>
    <w:lvl w:ilvl="0" w:tplc="D1C64C4C">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15:restartNumberingAfterBreak="0">
    <w:nsid w:val="40110B8F"/>
    <w:multiLevelType w:val="hybridMultilevel"/>
    <w:tmpl w:val="5060E0BE"/>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041372A"/>
    <w:multiLevelType w:val="hybridMultilevel"/>
    <w:tmpl w:val="1D86F044"/>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DF61D6B"/>
    <w:multiLevelType w:val="hybridMultilevel"/>
    <w:tmpl w:val="464664F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3C1584D"/>
    <w:multiLevelType w:val="hybridMultilevel"/>
    <w:tmpl w:val="B1581BFE"/>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C00435B"/>
    <w:multiLevelType w:val="hybridMultilevel"/>
    <w:tmpl w:val="9C8296F2"/>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5F825B5"/>
    <w:multiLevelType w:val="hybridMultilevel"/>
    <w:tmpl w:val="8C82CCE8"/>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AF74730"/>
    <w:multiLevelType w:val="hybridMultilevel"/>
    <w:tmpl w:val="86B665F6"/>
    <w:lvl w:ilvl="0" w:tplc="CF8CE0A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E432F38"/>
    <w:multiLevelType w:val="multilevel"/>
    <w:tmpl w:val="625833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47617262">
    <w:abstractNumId w:val="10"/>
  </w:num>
  <w:num w:numId="2" w16cid:durableId="1127354385">
    <w:abstractNumId w:val="6"/>
  </w:num>
  <w:num w:numId="3" w16cid:durableId="161706452">
    <w:abstractNumId w:val="7"/>
  </w:num>
  <w:num w:numId="4" w16cid:durableId="1811627431">
    <w:abstractNumId w:val="4"/>
  </w:num>
  <w:num w:numId="5" w16cid:durableId="637340001">
    <w:abstractNumId w:val="13"/>
  </w:num>
  <w:num w:numId="6" w16cid:durableId="1209948857">
    <w:abstractNumId w:val="2"/>
  </w:num>
  <w:num w:numId="7" w16cid:durableId="1629045138">
    <w:abstractNumId w:val="5"/>
  </w:num>
  <w:num w:numId="8" w16cid:durableId="420569212">
    <w:abstractNumId w:val="8"/>
  </w:num>
  <w:num w:numId="9" w16cid:durableId="369572138">
    <w:abstractNumId w:val="12"/>
  </w:num>
  <w:num w:numId="10" w16cid:durableId="1868912593">
    <w:abstractNumId w:val="9"/>
  </w:num>
  <w:num w:numId="11" w16cid:durableId="500775738">
    <w:abstractNumId w:val="1"/>
  </w:num>
  <w:num w:numId="12" w16cid:durableId="891575319">
    <w:abstractNumId w:val="14"/>
  </w:num>
  <w:num w:numId="13" w16cid:durableId="927495866">
    <w:abstractNumId w:val="0"/>
  </w:num>
  <w:num w:numId="14" w16cid:durableId="2067143913">
    <w:abstractNumId w:val="3"/>
  </w:num>
  <w:num w:numId="15" w16cid:durableId="1987279415">
    <w:abstractNumId w:val="11"/>
  </w:num>
  <w:num w:numId="16" w16cid:durableId="6658594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05"/>
    <w:rsid w:val="00073361"/>
    <w:rsid w:val="000819C7"/>
    <w:rsid w:val="000F7FE2"/>
    <w:rsid w:val="001A0406"/>
    <w:rsid w:val="001A52C7"/>
    <w:rsid w:val="001D5ED1"/>
    <w:rsid w:val="002532E1"/>
    <w:rsid w:val="00253D44"/>
    <w:rsid w:val="002E1A92"/>
    <w:rsid w:val="00302C88"/>
    <w:rsid w:val="003252D8"/>
    <w:rsid w:val="00383505"/>
    <w:rsid w:val="003C3C7C"/>
    <w:rsid w:val="003F6A0B"/>
    <w:rsid w:val="0042136A"/>
    <w:rsid w:val="004233F3"/>
    <w:rsid w:val="004246F7"/>
    <w:rsid w:val="00440E7C"/>
    <w:rsid w:val="00467CCF"/>
    <w:rsid w:val="004A13D5"/>
    <w:rsid w:val="00506C80"/>
    <w:rsid w:val="005544D8"/>
    <w:rsid w:val="005C487B"/>
    <w:rsid w:val="005C5537"/>
    <w:rsid w:val="00641A34"/>
    <w:rsid w:val="00677E8D"/>
    <w:rsid w:val="00680C88"/>
    <w:rsid w:val="006942AF"/>
    <w:rsid w:val="00714020"/>
    <w:rsid w:val="007E1300"/>
    <w:rsid w:val="008525D6"/>
    <w:rsid w:val="008747AD"/>
    <w:rsid w:val="00894016"/>
    <w:rsid w:val="00896D40"/>
    <w:rsid w:val="008A157C"/>
    <w:rsid w:val="008F71B9"/>
    <w:rsid w:val="00913369"/>
    <w:rsid w:val="00926999"/>
    <w:rsid w:val="00991433"/>
    <w:rsid w:val="009E18ED"/>
    <w:rsid w:val="00AC0A2B"/>
    <w:rsid w:val="00AE4C9F"/>
    <w:rsid w:val="00BD3175"/>
    <w:rsid w:val="00BF0CCD"/>
    <w:rsid w:val="00C03AB3"/>
    <w:rsid w:val="00C151BB"/>
    <w:rsid w:val="00C54339"/>
    <w:rsid w:val="00C87403"/>
    <w:rsid w:val="00D126F4"/>
    <w:rsid w:val="00DB3519"/>
    <w:rsid w:val="00DD2A6E"/>
    <w:rsid w:val="00DE57FB"/>
    <w:rsid w:val="00E07AED"/>
    <w:rsid w:val="00E1061D"/>
    <w:rsid w:val="00E160EA"/>
    <w:rsid w:val="00E401E2"/>
    <w:rsid w:val="00E430C0"/>
    <w:rsid w:val="00E572B9"/>
    <w:rsid w:val="00EA2925"/>
    <w:rsid w:val="00EA33BF"/>
    <w:rsid w:val="00EB2234"/>
    <w:rsid w:val="00F23462"/>
    <w:rsid w:val="00F24BB4"/>
    <w:rsid w:val="00FE27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0438E58"/>
  <w15:chartTrackingRefBased/>
  <w15:docId w15:val="{2B71CBA6-75E6-4717-BEF9-10D2658CB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40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vaffp182575">
    <w:name w:val="vaffp18257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6098">
    <w:name w:val="vaffp18609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76">
    <w:name w:val="vaffp182576"/>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78">
    <w:name w:val="vaffp18257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79">
    <w:name w:val="vaffp18257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80">
    <w:name w:val="vaffp18258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82">
    <w:name w:val="vaffp18258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85">
    <w:name w:val="vaffp18258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87">
    <w:name w:val="vaffp18258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89">
    <w:name w:val="vaffp18258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90">
    <w:name w:val="vaffp18259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91">
    <w:name w:val="vaffp18259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92">
    <w:name w:val="vaffp18259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93">
    <w:name w:val="vaffp182593"/>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94">
    <w:name w:val="vaffp18259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96">
    <w:name w:val="vaffp182596"/>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97">
    <w:name w:val="vaffp18259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599">
    <w:name w:val="vaffp18259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00">
    <w:name w:val="vaffp18260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01">
    <w:name w:val="vaffp18260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02">
    <w:name w:val="vaffp18260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03">
    <w:name w:val="vaffp182603"/>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04">
    <w:name w:val="vaffp18260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05">
    <w:name w:val="vaffp18260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07">
    <w:name w:val="vaffp18260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08">
    <w:name w:val="vaffp18260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10">
    <w:name w:val="vaffp18261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11">
    <w:name w:val="vaffp18261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12">
    <w:name w:val="vaffp18261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14">
    <w:name w:val="vaffp18261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15">
    <w:name w:val="vaffp18261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6102">
    <w:name w:val="vaffp18610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18">
    <w:name w:val="vaffp18261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6099">
    <w:name w:val="vaffp18609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19">
    <w:name w:val="vaffp18261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0">
    <w:name w:val="vaffp18262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284">
    <w:name w:val="vaffp18428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285">
    <w:name w:val="vaffp18428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286">
    <w:name w:val="vaffp184286"/>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287">
    <w:name w:val="vaffp18428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1">
    <w:name w:val="vaffp18262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2">
    <w:name w:val="vaffp18262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3">
    <w:name w:val="vaffp182623"/>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4">
    <w:name w:val="vaffp18262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856">
    <w:name w:val="vaffp184856"/>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5">
    <w:name w:val="vaffp18262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6">
    <w:name w:val="vaffp182626"/>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7">
    <w:name w:val="vaffp18262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8">
    <w:name w:val="vaffp18262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29">
    <w:name w:val="vaffp18262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630">
    <w:name w:val="vaffp18263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52">
    <w:name w:val="vaffp18275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53">
    <w:name w:val="vaffp182753"/>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54">
    <w:name w:val="vaffp18275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55">
    <w:name w:val="vaffp18275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57">
    <w:name w:val="vaffp18275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58">
    <w:name w:val="vaffp18275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59">
    <w:name w:val="vaffp18275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60">
    <w:name w:val="vaffp18276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61">
    <w:name w:val="vaffp18276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62">
    <w:name w:val="vaffp18276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63">
    <w:name w:val="vaffp182763"/>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64">
    <w:name w:val="vaffp18276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65">
    <w:name w:val="vaffp18276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67">
    <w:name w:val="vaffp18276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69">
    <w:name w:val="vaffp18276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70">
    <w:name w:val="vaffp18277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71">
    <w:name w:val="vaffp18277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72">
    <w:name w:val="vaffp18277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73">
    <w:name w:val="vaffp182773"/>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74">
    <w:name w:val="vaffp18277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87">
    <w:name w:val="vaffp18478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88">
    <w:name w:val="vaffp18478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89">
    <w:name w:val="vaffp18478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0">
    <w:name w:val="vaffp18479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1">
    <w:name w:val="vaffp18479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2">
    <w:name w:val="vaffp18479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3">
    <w:name w:val="vaffp184793"/>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4">
    <w:name w:val="vaffp18479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5">
    <w:name w:val="vaffp18479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6">
    <w:name w:val="vaffp184796"/>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7">
    <w:name w:val="vaffp18479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8">
    <w:name w:val="vaffp18479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799">
    <w:name w:val="vaffp18479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78">
    <w:name w:val="vaffp18277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79">
    <w:name w:val="vaffp18277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0">
    <w:name w:val="vaffp18278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1">
    <w:name w:val="vaffp18278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2">
    <w:name w:val="vaffp18278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3">
    <w:name w:val="vaffp182783"/>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4">
    <w:name w:val="vaffp18278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5">
    <w:name w:val="vaffp182785"/>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6">
    <w:name w:val="vaffp182786"/>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7">
    <w:name w:val="vaffp18278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8">
    <w:name w:val="vaffp182788"/>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89">
    <w:name w:val="vaffp18278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90">
    <w:name w:val="vaffp18279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2791">
    <w:name w:val="vaffp18279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124">
    <w:name w:val="vaffp184124"/>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127">
    <w:name w:val="vaffp184127"/>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129">
    <w:name w:val="vaffp184129"/>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130">
    <w:name w:val="vaffp18413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280">
    <w:name w:val="vaffp184280"/>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281">
    <w:name w:val="vaffp184281"/>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282">
    <w:name w:val="vaffp184282"/>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vaffp184283">
    <w:name w:val="vaffp184283"/>
    <w:basedOn w:val="Normal"/>
    <w:rsid w:val="00467CC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DB3519"/>
    <w:pPr>
      <w:ind w:left="720"/>
      <w:contextualSpacing/>
    </w:pPr>
  </w:style>
  <w:style w:type="paragraph" w:styleId="Notedebasdepage">
    <w:name w:val="footnote text"/>
    <w:basedOn w:val="Normal"/>
    <w:link w:val="NotedebasdepageCar"/>
    <w:uiPriority w:val="99"/>
    <w:unhideWhenUsed/>
    <w:rsid w:val="00F24BB4"/>
    <w:pPr>
      <w:spacing w:after="0" w:line="240" w:lineRule="auto"/>
    </w:pPr>
    <w:rPr>
      <w:rFonts w:ascii="Times New Roman" w:eastAsia="Times New Roman" w:hAnsi="Times New Roman" w:cs="Times New Roman"/>
      <w:sz w:val="20"/>
      <w:szCs w:val="20"/>
      <w:lang w:eastAsia="fr-FR"/>
    </w:rPr>
  </w:style>
  <w:style w:type="character" w:customStyle="1" w:styleId="NotedebasdepageCar">
    <w:name w:val="Note de bas de page Car"/>
    <w:basedOn w:val="Policepardfaut"/>
    <w:link w:val="Notedebasdepage"/>
    <w:uiPriority w:val="99"/>
    <w:rsid w:val="00F24BB4"/>
    <w:rPr>
      <w:rFonts w:ascii="Times New Roman" w:eastAsia="Times New Roman" w:hAnsi="Times New Roman" w:cs="Times New Roman"/>
      <w:sz w:val="20"/>
      <w:szCs w:val="20"/>
      <w:lang w:eastAsia="fr-FR"/>
    </w:rPr>
  </w:style>
  <w:style w:type="character" w:styleId="Appelnotedebasdep">
    <w:name w:val="footnote reference"/>
    <w:unhideWhenUsed/>
    <w:rsid w:val="00F24BB4"/>
    <w:rPr>
      <w:rFonts w:ascii="Times New Roman" w:hAnsi="Times New Roman" w:cs="Times New Roman" w:hint="default"/>
      <w:position w:val="6"/>
      <w:sz w:val="12"/>
      <w:bdr w:val="none" w:sz="0" w:space="0" w:color="auto" w:frame="1"/>
    </w:rPr>
  </w:style>
  <w:style w:type="paragraph" w:styleId="NormalWeb">
    <w:name w:val="Normal (Web)"/>
    <w:basedOn w:val="Normal"/>
    <w:uiPriority w:val="99"/>
    <w:semiHidden/>
    <w:unhideWhenUsed/>
    <w:rsid w:val="00926999"/>
    <w:pPr>
      <w:spacing w:after="200" w:line="276" w:lineRule="auto"/>
    </w:pPr>
    <w:rPr>
      <w:rFonts w:ascii="Times New Roman" w:eastAsia="Calibri" w:hAnsi="Times New Roman" w:cs="Times New Roman"/>
      <w:sz w:val="24"/>
      <w:szCs w:val="24"/>
    </w:rPr>
  </w:style>
  <w:style w:type="character" w:styleId="Marquedecommentaire">
    <w:name w:val="annotation reference"/>
    <w:basedOn w:val="Policepardfaut"/>
    <w:uiPriority w:val="99"/>
    <w:semiHidden/>
    <w:unhideWhenUsed/>
    <w:rsid w:val="00680C88"/>
    <w:rPr>
      <w:sz w:val="16"/>
      <w:szCs w:val="16"/>
    </w:rPr>
  </w:style>
  <w:style w:type="paragraph" w:styleId="Commentaire">
    <w:name w:val="annotation text"/>
    <w:basedOn w:val="Normal"/>
    <w:link w:val="CommentaireCar"/>
    <w:uiPriority w:val="99"/>
    <w:semiHidden/>
    <w:unhideWhenUsed/>
    <w:rsid w:val="00680C88"/>
    <w:pPr>
      <w:spacing w:line="240" w:lineRule="auto"/>
    </w:pPr>
    <w:rPr>
      <w:sz w:val="20"/>
      <w:szCs w:val="20"/>
    </w:rPr>
  </w:style>
  <w:style w:type="character" w:customStyle="1" w:styleId="CommentaireCar">
    <w:name w:val="Commentaire Car"/>
    <w:basedOn w:val="Policepardfaut"/>
    <w:link w:val="Commentaire"/>
    <w:uiPriority w:val="99"/>
    <w:semiHidden/>
    <w:rsid w:val="00680C88"/>
    <w:rPr>
      <w:sz w:val="20"/>
      <w:szCs w:val="20"/>
    </w:rPr>
  </w:style>
  <w:style w:type="paragraph" w:styleId="Objetducommentaire">
    <w:name w:val="annotation subject"/>
    <w:basedOn w:val="Commentaire"/>
    <w:next w:val="Commentaire"/>
    <w:link w:val="ObjetducommentaireCar"/>
    <w:uiPriority w:val="99"/>
    <w:semiHidden/>
    <w:unhideWhenUsed/>
    <w:rsid w:val="00680C88"/>
    <w:rPr>
      <w:b/>
      <w:bCs/>
    </w:rPr>
  </w:style>
  <w:style w:type="character" w:customStyle="1" w:styleId="ObjetducommentaireCar">
    <w:name w:val="Objet du commentaire Car"/>
    <w:basedOn w:val="CommentaireCar"/>
    <w:link w:val="Objetducommentaire"/>
    <w:uiPriority w:val="99"/>
    <w:semiHidden/>
    <w:rsid w:val="00680C88"/>
    <w:rPr>
      <w:b/>
      <w:bCs/>
      <w:sz w:val="20"/>
      <w:szCs w:val="20"/>
    </w:rPr>
  </w:style>
  <w:style w:type="paragraph" w:styleId="Textedebulles">
    <w:name w:val="Balloon Text"/>
    <w:basedOn w:val="Normal"/>
    <w:link w:val="TextedebullesCar"/>
    <w:uiPriority w:val="99"/>
    <w:semiHidden/>
    <w:unhideWhenUsed/>
    <w:rsid w:val="00680C8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80C88"/>
    <w:rPr>
      <w:rFonts w:ascii="Segoe UI" w:hAnsi="Segoe UI" w:cs="Segoe UI"/>
      <w:sz w:val="18"/>
      <w:szCs w:val="18"/>
    </w:rPr>
  </w:style>
  <w:style w:type="paragraph" w:styleId="En-tte">
    <w:name w:val="header"/>
    <w:basedOn w:val="Normal"/>
    <w:link w:val="En-tteCar"/>
    <w:uiPriority w:val="99"/>
    <w:unhideWhenUsed/>
    <w:rsid w:val="001A52C7"/>
    <w:pPr>
      <w:tabs>
        <w:tab w:val="center" w:pos="4536"/>
        <w:tab w:val="right" w:pos="9072"/>
      </w:tabs>
      <w:spacing w:after="0" w:line="240" w:lineRule="auto"/>
    </w:pPr>
  </w:style>
  <w:style w:type="character" w:customStyle="1" w:styleId="En-tteCar">
    <w:name w:val="En-tête Car"/>
    <w:basedOn w:val="Policepardfaut"/>
    <w:link w:val="En-tte"/>
    <w:uiPriority w:val="99"/>
    <w:rsid w:val="001A52C7"/>
  </w:style>
  <w:style w:type="paragraph" w:styleId="Pieddepage">
    <w:name w:val="footer"/>
    <w:basedOn w:val="Normal"/>
    <w:link w:val="PieddepageCar"/>
    <w:unhideWhenUsed/>
    <w:rsid w:val="001A52C7"/>
    <w:pPr>
      <w:tabs>
        <w:tab w:val="center" w:pos="4536"/>
        <w:tab w:val="right" w:pos="9072"/>
      </w:tabs>
      <w:spacing w:after="0" w:line="240" w:lineRule="auto"/>
    </w:pPr>
  </w:style>
  <w:style w:type="character" w:customStyle="1" w:styleId="PieddepageCar">
    <w:name w:val="Pied de page Car"/>
    <w:basedOn w:val="Policepardfaut"/>
    <w:link w:val="Pieddepage"/>
    <w:rsid w:val="001A52C7"/>
  </w:style>
  <w:style w:type="character" w:styleId="Numrodepage">
    <w:name w:val="page number"/>
    <w:basedOn w:val="Policepardfaut"/>
    <w:rsid w:val="001A52C7"/>
  </w:style>
  <w:style w:type="paragraph" w:styleId="Titre">
    <w:name w:val="Title"/>
    <w:basedOn w:val="Normal"/>
    <w:link w:val="TitreCar"/>
    <w:qFormat/>
    <w:rsid w:val="000819C7"/>
    <w:pPr>
      <w:spacing w:after="0" w:line="240" w:lineRule="auto"/>
      <w:jc w:val="center"/>
    </w:pPr>
    <w:rPr>
      <w:rFonts w:ascii="Arial Unicode MS" w:eastAsia="Arial Unicode MS" w:hAnsi="Arial Unicode MS" w:cs="Arial Unicode MS"/>
      <w:b/>
      <w:bCs/>
      <w:color w:val="000000"/>
      <w:sz w:val="20"/>
      <w:szCs w:val="24"/>
      <w:lang w:eastAsia="fr-FR"/>
    </w:rPr>
  </w:style>
  <w:style w:type="character" w:customStyle="1" w:styleId="TitreCar">
    <w:name w:val="Titre Car"/>
    <w:basedOn w:val="Policepardfaut"/>
    <w:link w:val="Titre"/>
    <w:rsid w:val="000819C7"/>
    <w:rPr>
      <w:rFonts w:ascii="Arial Unicode MS" w:eastAsia="Arial Unicode MS" w:hAnsi="Arial Unicode MS" w:cs="Arial Unicode MS"/>
      <w:b/>
      <w:bCs/>
      <w:color w:val="000000"/>
      <w:sz w:val="20"/>
      <w:szCs w:val="24"/>
      <w:lang w:eastAsia="fr-FR"/>
    </w:rPr>
  </w:style>
  <w:style w:type="paragraph" w:customStyle="1" w:styleId="TableParagraph">
    <w:name w:val="Table Paragraph"/>
    <w:basedOn w:val="Normal"/>
    <w:link w:val="TableParagraphCar"/>
    <w:qFormat/>
    <w:rsid w:val="000819C7"/>
    <w:pPr>
      <w:widowControl w:val="0"/>
      <w:autoSpaceDE w:val="0"/>
      <w:autoSpaceDN w:val="0"/>
      <w:adjustRightInd w:val="0"/>
      <w:spacing w:after="0" w:line="240" w:lineRule="auto"/>
    </w:pPr>
    <w:rPr>
      <w:rFonts w:ascii="Times New Roman" w:eastAsia="Times New Roman" w:hAnsi="Times New Roman" w:cs="Times New Roman"/>
      <w:sz w:val="24"/>
      <w:szCs w:val="24"/>
      <w:lang w:eastAsia="fr-FR"/>
    </w:rPr>
  </w:style>
  <w:style w:type="character" w:customStyle="1" w:styleId="TableParagraphCar">
    <w:name w:val="Table Paragraph Car"/>
    <w:link w:val="TableParagraph"/>
    <w:rsid w:val="000819C7"/>
    <w:rPr>
      <w:rFonts w:ascii="Times New Roman" w:eastAsia="Times New Roman" w:hAnsi="Times New Roman" w:cs="Times New Roman"/>
      <w:sz w:val="24"/>
      <w:szCs w:val="24"/>
      <w:lang w:eastAsia="fr-FR"/>
    </w:rPr>
  </w:style>
  <w:style w:type="character" w:customStyle="1" w:styleId="Corpsdutexte2">
    <w:name w:val="Corps du texte (2)_"/>
    <w:basedOn w:val="Policepardfaut"/>
    <w:link w:val="Corpsdutexte20"/>
    <w:rsid w:val="000819C7"/>
    <w:rPr>
      <w:rFonts w:ascii="Times New Roman" w:eastAsia="Times New Roman" w:hAnsi="Times New Roman" w:cs="Times New Roman"/>
      <w:sz w:val="21"/>
      <w:szCs w:val="21"/>
      <w:shd w:val="clear" w:color="auto" w:fill="FFFFFF"/>
    </w:rPr>
  </w:style>
  <w:style w:type="character" w:customStyle="1" w:styleId="Corpsdutexte2Graschelle70">
    <w:name w:val="Corps du texte (2) + Gras;Échelle 70%"/>
    <w:basedOn w:val="Corpsdutexte2"/>
    <w:rsid w:val="000819C7"/>
    <w:rPr>
      <w:rFonts w:ascii="Times New Roman" w:eastAsia="Times New Roman" w:hAnsi="Times New Roman" w:cs="Times New Roman"/>
      <w:b/>
      <w:bCs/>
      <w:color w:val="000000"/>
      <w:spacing w:val="0"/>
      <w:w w:val="70"/>
      <w:position w:val="0"/>
      <w:sz w:val="21"/>
      <w:szCs w:val="21"/>
      <w:shd w:val="clear" w:color="auto" w:fill="FFFFFF"/>
      <w:lang w:val="fr-FR" w:eastAsia="fr-FR" w:bidi="fr-FR"/>
    </w:rPr>
  </w:style>
  <w:style w:type="paragraph" w:customStyle="1" w:styleId="Corpsdutexte20">
    <w:name w:val="Corps du texte (2)"/>
    <w:basedOn w:val="Normal"/>
    <w:link w:val="Corpsdutexte2"/>
    <w:rsid w:val="000819C7"/>
    <w:pPr>
      <w:widowControl w:val="0"/>
      <w:shd w:val="clear" w:color="auto" w:fill="FFFFFF"/>
      <w:spacing w:before="780" w:after="260" w:line="221" w:lineRule="exact"/>
      <w:ind w:hanging="160"/>
      <w:jc w:val="center"/>
    </w:pPr>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177654">
      <w:bodyDiv w:val="1"/>
      <w:marLeft w:val="0"/>
      <w:marRight w:val="0"/>
      <w:marTop w:val="0"/>
      <w:marBottom w:val="0"/>
      <w:divBdr>
        <w:top w:val="none" w:sz="0" w:space="0" w:color="auto"/>
        <w:left w:val="none" w:sz="0" w:space="0" w:color="auto"/>
        <w:bottom w:val="none" w:sz="0" w:space="0" w:color="auto"/>
        <w:right w:val="none" w:sz="0" w:space="0" w:color="auto"/>
      </w:divBdr>
    </w:div>
    <w:div w:id="935017588">
      <w:bodyDiv w:val="1"/>
      <w:marLeft w:val="0"/>
      <w:marRight w:val="0"/>
      <w:marTop w:val="0"/>
      <w:marBottom w:val="0"/>
      <w:divBdr>
        <w:top w:val="none" w:sz="0" w:space="0" w:color="auto"/>
        <w:left w:val="none" w:sz="0" w:space="0" w:color="auto"/>
        <w:bottom w:val="none" w:sz="0" w:space="0" w:color="auto"/>
        <w:right w:val="none" w:sz="0" w:space="0" w:color="auto"/>
      </w:divBdr>
    </w:div>
    <w:div w:id="1258832074">
      <w:bodyDiv w:val="1"/>
      <w:marLeft w:val="0"/>
      <w:marRight w:val="0"/>
      <w:marTop w:val="0"/>
      <w:marBottom w:val="0"/>
      <w:divBdr>
        <w:top w:val="none" w:sz="0" w:space="0" w:color="auto"/>
        <w:left w:val="none" w:sz="0" w:space="0" w:color="auto"/>
        <w:bottom w:val="none" w:sz="0" w:space="0" w:color="auto"/>
        <w:right w:val="none" w:sz="0" w:space="0" w:color="auto"/>
      </w:divBdr>
    </w:div>
    <w:div w:id="1877740566">
      <w:bodyDiv w:val="1"/>
      <w:marLeft w:val="0"/>
      <w:marRight w:val="0"/>
      <w:marTop w:val="0"/>
      <w:marBottom w:val="0"/>
      <w:divBdr>
        <w:top w:val="none" w:sz="0" w:space="0" w:color="auto"/>
        <w:left w:val="none" w:sz="0" w:space="0" w:color="auto"/>
        <w:bottom w:val="none" w:sz="0" w:space="0" w:color="auto"/>
        <w:right w:val="none" w:sz="0" w:space="0" w:color="auto"/>
      </w:divBdr>
      <w:divsChild>
        <w:div w:id="1200048273">
          <w:marLeft w:val="0"/>
          <w:marRight w:val="0"/>
          <w:marTop w:val="0"/>
          <w:marBottom w:val="0"/>
          <w:divBdr>
            <w:top w:val="none" w:sz="0" w:space="0" w:color="auto"/>
            <w:left w:val="none" w:sz="0" w:space="0" w:color="auto"/>
            <w:bottom w:val="none" w:sz="0" w:space="0" w:color="auto"/>
            <w:right w:val="none" w:sz="0" w:space="0" w:color="auto"/>
          </w:divBdr>
          <w:divsChild>
            <w:div w:id="1727071224">
              <w:marLeft w:val="0"/>
              <w:marRight w:val="0"/>
              <w:marTop w:val="0"/>
              <w:marBottom w:val="0"/>
              <w:divBdr>
                <w:top w:val="none" w:sz="0" w:space="0" w:color="auto"/>
                <w:left w:val="none" w:sz="0" w:space="0" w:color="auto"/>
                <w:bottom w:val="none" w:sz="0" w:space="0" w:color="auto"/>
                <w:right w:val="none" w:sz="0" w:space="0" w:color="auto"/>
              </w:divBdr>
              <w:divsChild>
                <w:div w:id="1166632626">
                  <w:marLeft w:val="0"/>
                  <w:marRight w:val="0"/>
                  <w:marTop w:val="0"/>
                  <w:marBottom w:val="0"/>
                  <w:divBdr>
                    <w:top w:val="none" w:sz="0" w:space="0" w:color="auto"/>
                    <w:left w:val="none" w:sz="0" w:space="0" w:color="auto"/>
                    <w:bottom w:val="none" w:sz="0" w:space="0" w:color="auto"/>
                    <w:right w:val="none" w:sz="0" w:space="0" w:color="auto"/>
                  </w:divBdr>
                  <w:divsChild>
                    <w:div w:id="934557298">
                      <w:marLeft w:val="0"/>
                      <w:marRight w:val="0"/>
                      <w:marTop w:val="0"/>
                      <w:marBottom w:val="0"/>
                      <w:divBdr>
                        <w:top w:val="none" w:sz="0" w:space="0" w:color="auto"/>
                        <w:left w:val="none" w:sz="0" w:space="0" w:color="auto"/>
                        <w:bottom w:val="none" w:sz="0" w:space="0" w:color="auto"/>
                        <w:right w:val="none" w:sz="0" w:space="0" w:color="auto"/>
                      </w:divBdr>
                      <w:divsChild>
                        <w:div w:id="879319828">
                          <w:marLeft w:val="0"/>
                          <w:marRight w:val="0"/>
                          <w:marTop w:val="0"/>
                          <w:marBottom w:val="0"/>
                          <w:divBdr>
                            <w:top w:val="none" w:sz="0" w:space="0" w:color="auto"/>
                            <w:left w:val="none" w:sz="0" w:space="0" w:color="auto"/>
                            <w:bottom w:val="none" w:sz="0" w:space="0" w:color="auto"/>
                            <w:right w:val="none" w:sz="0" w:space="0" w:color="auto"/>
                          </w:divBdr>
                          <w:divsChild>
                            <w:div w:id="1935047348">
                              <w:marLeft w:val="0"/>
                              <w:marRight w:val="0"/>
                              <w:marTop w:val="0"/>
                              <w:marBottom w:val="0"/>
                              <w:divBdr>
                                <w:top w:val="none" w:sz="0" w:space="0" w:color="auto"/>
                                <w:left w:val="none" w:sz="0" w:space="0" w:color="auto"/>
                                <w:bottom w:val="none" w:sz="0" w:space="0" w:color="auto"/>
                                <w:right w:val="none" w:sz="0" w:space="0" w:color="auto"/>
                              </w:divBdr>
                              <w:divsChild>
                                <w:div w:id="100605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xpol.cloud.pf/LexpolAfficheTexte.php?texte=581567" TargetMode="External"/><Relationship Id="rId18" Type="http://schemas.openxmlformats.org/officeDocument/2006/relationships/hyperlink" Target="https://lexpol.cloud.pf/LexpolAfficheTexte.php?texte=581567" TargetMode="External"/><Relationship Id="rId26" Type="http://schemas.openxmlformats.org/officeDocument/2006/relationships/hyperlink" Target="https://lexpol.cloud.pf/LexpolAfficheTexte.php?texte=581567" TargetMode="External"/><Relationship Id="rId39" Type="http://schemas.openxmlformats.org/officeDocument/2006/relationships/hyperlink" Target="https://lexpol.cloud.pf/LexpolAfficheTexte.php?texte=581567" TargetMode="External"/><Relationship Id="rId21" Type="http://schemas.openxmlformats.org/officeDocument/2006/relationships/hyperlink" Target="https://lexpol.cloud.pf/LexpolAfficheTexte.php?texte=581567" TargetMode="External"/><Relationship Id="rId34" Type="http://schemas.openxmlformats.org/officeDocument/2006/relationships/hyperlink" Target="https://lexpol.cloud.pf/LexpolAfficheTexte.php?texte=581567" TargetMode="External"/><Relationship Id="rId42" Type="http://schemas.openxmlformats.org/officeDocument/2006/relationships/hyperlink" Target="https://lexpol.cloud.pf/LexpolAfficheTexte.php?texte=581567" TargetMode="External"/><Relationship Id="rId47" Type="http://schemas.openxmlformats.org/officeDocument/2006/relationships/hyperlink" Target="https://lexpol.cloud.pf/LexpolAfficheTexte.php?texte=581567" TargetMode="External"/><Relationship Id="rId50" Type="http://schemas.openxmlformats.org/officeDocument/2006/relationships/hyperlink" Target="https://lexpol.cloud.pf/LexpolAfficheTexte.php?texte=581567" TargetMode="External"/><Relationship Id="rId55" Type="http://schemas.openxmlformats.org/officeDocument/2006/relationships/hyperlink" Target="https://lexpol.cloud.pf/LexpolAfficheTexte.php?texte=58156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expol.cloud.pf/LexpolAfficheTexte.php?texte=581567" TargetMode="External"/><Relationship Id="rId29" Type="http://schemas.openxmlformats.org/officeDocument/2006/relationships/hyperlink" Target="https://lexpol.cloud.pf/LexpolAfficheTexte.php?texte=581567" TargetMode="External"/><Relationship Id="rId11" Type="http://schemas.openxmlformats.org/officeDocument/2006/relationships/hyperlink" Target="https://lexpol.cloud.pf/LexpolAfficheTexte.php?texte=581567" TargetMode="External"/><Relationship Id="rId24" Type="http://schemas.openxmlformats.org/officeDocument/2006/relationships/hyperlink" Target="https://lexpol.cloud.pf/LexpolAfficheTexte.php?texte=581567" TargetMode="External"/><Relationship Id="rId32" Type="http://schemas.openxmlformats.org/officeDocument/2006/relationships/hyperlink" Target="https://lexpol.cloud.pf/LexpolAfficheTexte.php?texte=581567" TargetMode="External"/><Relationship Id="rId37" Type="http://schemas.openxmlformats.org/officeDocument/2006/relationships/hyperlink" Target="https://lexpol.cloud.pf/LexpolAfficheTexte.php?texte=581567" TargetMode="External"/><Relationship Id="rId40" Type="http://schemas.openxmlformats.org/officeDocument/2006/relationships/hyperlink" Target="https://lexpol.cloud.pf/LexpolAfficheTexte.php?texte=581567" TargetMode="External"/><Relationship Id="rId45" Type="http://schemas.openxmlformats.org/officeDocument/2006/relationships/hyperlink" Target="https://lexpol.cloud.pf/LexpolAfficheTexte.php?texte=581567" TargetMode="External"/><Relationship Id="rId53" Type="http://schemas.openxmlformats.org/officeDocument/2006/relationships/hyperlink" Target="https://lexpol.cloud.pf/LexpolAfficheTexte.php?texte=581567"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lexpol.cloud.pf/LexpolAfficheTexte.php?texte=581567" TargetMode="External"/><Relationship Id="rId4" Type="http://schemas.openxmlformats.org/officeDocument/2006/relationships/settings" Target="settings.xml"/><Relationship Id="rId9" Type="http://schemas.openxmlformats.org/officeDocument/2006/relationships/hyperlink" Target="https://lexpol.cloud.pf/LexpolAfficheTexte.php?texte=581567" TargetMode="External"/><Relationship Id="rId14" Type="http://schemas.openxmlformats.org/officeDocument/2006/relationships/hyperlink" Target="https://lexpol.cloud.pf/LexpolAfficheTexte.php?texte=581567" TargetMode="External"/><Relationship Id="rId22" Type="http://schemas.openxmlformats.org/officeDocument/2006/relationships/hyperlink" Target="https://lexpol.cloud.pf/LexpolAfficheTexte.php?texte=581567" TargetMode="External"/><Relationship Id="rId27" Type="http://schemas.openxmlformats.org/officeDocument/2006/relationships/hyperlink" Target="https://lexpol.cloud.pf/LexpolAfficheTexte.php?texte=581567" TargetMode="External"/><Relationship Id="rId30" Type="http://schemas.openxmlformats.org/officeDocument/2006/relationships/hyperlink" Target="https://lexpol.cloud.pf/LexpolAfficheTexte.php?texte=581567" TargetMode="External"/><Relationship Id="rId35" Type="http://schemas.openxmlformats.org/officeDocument/2006/relationships/hyperlink" Target="https://lexpol.cloud.pf/LexpolAfficheTexte.php?texte=581567" TargetMode="External"/><Relationship Id="rId43" Type="http://schemas.openxmlformats.org/officeDocument/2006/relationships/hyperlink" Target="https://lexpol.cloud.pf/LexpolAfficheTexte.php?texte=581567" TargetMode="External"/><Relationship Id="rId48" Type="http://schemas.openxmlformats.org/officeDocument/2006/relationships/hyperlink" Target="https://lexpol.cloud.pf/LexpolAfficheTexte.php?texte=581567" TargetMode="External"/><Relationship Id="rId56" Type="http://schemas.openxmlformats.org/officeDocument/2006/relationships/header" Target="header1.xml"/><Relationship Id="rId8" Type="http://schemas.openxmlformats.org/officeDocument/2006/relationships/hyperlink" Target="https://lexpol.cloud.pf/LexpolAfficheTexte.php?texte=581567" TargetMode="External"/><Relationship Id="rId51" Type="http://schemas.openxmlformats.org/officeDocument/2006/relationships/hyperlink" Target="https://lexpol.cloud.pf/LexpolAfficheTexte.php?texte=581567" TargetMode="External"/><Relationship Id="rId3" Type="http://schemas.openxmlformats.org/officeDocument/2006/relationships/styles" Target="styles.xml"/><Relationship Id="rId12" Type="http://schemas.openxmlformats.org/officeDocument/2006/relationships/hyperlink" Target="https://lexpol.cloud.pf/LexpolAfficheTexte.php?texte=581567" TargetMode="External"/><Relationship Id="rId17" Type="http://schemas.openxmlformats.org/officeDocument/2006/relationships/hyperlink" Target="https://lexpol.cloud.pf/LexpolAfficheTexte.php?texte=581567" TargetMode="External"/><Relationship Id="rId25" Type="http://schemas.openxmlformats.org/officeDocument/2006/relationships/hyperlink" Target="https://lexpol.cloud.pf/LexpolAfficheTexte.php?texte=581567" TargetMode="External"/><Relationship Id="rId33" Type="http://schemas.openxmlformats.org/officeDocument/2006/relationships/hyperlink" Target="https://lexpol.cloud.pf/LexpolAfficheTexte.php?texte=581567" TargetMode="External"/><Relationship Id="rId38" Type="http://schemas.openxmlformats.org/officeDocument/2006/relationships/hyperlink" Target="https://lexpol.cloud.pf/LexpolAfficheTexte.php?texte=581567" TargetMode="External"/><Relationship Id="rId46" Type="http://schemas.openxmlformats.org/officeDocument/2006/relationships/hyperlink" Target="https://lexpol.cloud.pf/LexpolAfficheTexte.php?texte=581567" TargetMode="External"/><Relationship Id="rId59" Type="http://schemas.openxmlformats.org/officeDocument/2006/relationships/theme" Target="theme/theme1.xml"/><Relationship Id="rId20" Type="http://schemas.openxmlformats.org/officeDocument/2006/relationships/hyperlink" Target="https://lexpol.cloud.pf/LexpolAfficheTexte.php?texte=581567" TargetMode="External"/><Relationship Id="rId41" Type="http://schemas.openxmlformats.org/officeDocument/2006/relationships/hyperlink" Target="https://lexpol.cloud.pf/LexpolAfficheTexte.php?texte=581567" TargetMode="External"/><Relationship Id="rId54" Type="http://schemas.openxmlformats.org/officeDocument/2006/relationships/hyperlink" Target="https://lexpol.cloud.pf/LexpolAfficheTexte.php?texte=58156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expol.cloud.pf/LexpolAfficheTexte.php?texte=581567" TargetMode="External"/><Relationship Id="rId23" Type="http://schemas.openxmlformats.org/officeDocument/2006/relationships/hyperlink" Target="https://lexpol.cloud.pf/LexpolAfficheTexte.php?texte=581567" TargetMode="External"/><Relationship Id="rId28" Type="http://schemas.openxmlformats.org/officeDocument/2006/relationships/hyperlink" Target="https://lexpol.cloud.pf/LexpolAfficheTexte.php?texte=581567" TargetMode="External"/><Relationship Id="rId36" Type="http://schemas.openxmlformats.org/officeDocument/2006/relationships/hyperlink" Target="https://lexpol.cloud.pf/LexpolAfficheTexte.php?texte=581567" TargetMode="External"/><Relationship Id="rId49" Type="http://schemas.openxmlformats.org/officeDocument/2006/relationships/hyperlink" Target="https://lexpol.cloud.pf/LexpolAfficheTexte.php?texte=581567" TargetMode="External"/><Relationship Id="rId57" Type="http://schemas.openxmlformats.org/officeDocument/2006/relationships/footer" Target="footer1.xml"/><Relationship Id="rId10" Type="http://schemas.openxmlformats.org/officeDocument/2006/relationships/hyperlink" Target="https://lexpol.cloud.pf/LexpolAfficheTexte.php?texte=581567" TargetMode="External"/><Relationship Id="rId31" Type="http://schemas.openxmlformats.org/officeDocument/2006/relationships/hyperlink" Target="https://lexpol.cloud.pf/LexpolAfficheTexte.php?texte=581567" TargetMode="External"/><Relationship Id="rId44" Type="http://schemas.openxmlformats.org/officeDocument/2006/relationships/hyperlink" Target="https://lexpol.cloud.pf/LexpolAfficheTexte.php?texte=581567" TargetMode="External"/><Relationship Id="rId52" Type="http://schemas.openxmlformats.org/officeDocument/2006/relationships/hyperlink" Target="https://lexpol.cloud.pf/LexpolAfficheTexte.php?texte=58156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FDFE6-C284-412E-A162-36ADD09AD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127</Pages>
  <Words>50300</Words>
  <Characters>276650</Characters>
  <Application>Microsoft Office Word</Application>
  <DocSecurity>0</DocSecurity>
  <Lines>2305</Lines>
  <Paragraphs>652</Paragraphs>
  <ScaleCrop>false</ScaleCrop>
  <HeadingPairs>
    <vt:vector size="2" baseType="variant">
      <vt:variant>
        <vt:lpstr>Titre</vt:lpstr>
      </vt:variant>
      <vt:variant>
        <vt:i4>1</vt:i4>
      </vt:variant>
    </vt:vector>
  </HeadingPairs>
  <TitlesOfParts>
    <vt:vector size="1" baseType="lpstr">
      <vt:lpstr/>
    </vt:vector>
  </TitlesOfParts>
  <Company>Service Informatique de la Polynésie française</Company>
  <LinksUpToDate>false</LinksUpToDate>
  <CharactersWithSpaces>326298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cmartinez</dc:creator>
  <cp:keywords/>
  <dc:description/>
  <cp:lastModifiedBy>Poerava PS. SIMPSON</cp:lastModifiedBy>
  <cp:revision>37</cp:revision>
  <cp:lastPrinted>2025-10-28T18:31:00Z</cp:lastPrinted>
  <dcterms:created xsi:type="dcterms:W3CDTF">2025-10-17T20:05:00Z</dcterms:created>
  <dcterms:modified xsi:type="dcterms:W3CDTF">2025-10-28T18:52:00Z</dcterms:modified>
</cp:coreProperties>
</file>